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sdtContent>
        <w:p w14:paraId="10956828" w14:textId="77777777" w:rsidR="004073BC" w:rsidRDefault="00F72274" w:rsidP="009E550A">
          <w:r>
            <w:rPr>
              <w:noProof/>
            </w:rPr>
            <w:drawing>
              <wp:anchor distT="0" distB="0" distL="114300" distR="114300" simplePos="0" relativeHeight="251658240" behindDoc="1" locked="0" layoutInCell="1" allowOverlap="1" wp14:anchorId="6D946997" wp14:editId="71A3B067">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0973" cy="1091173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FB344A6" wp14:editId="0B5D5712">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4EC96ED8" w14:textId="77777777" w:rsidR="004073BC" w:rsidRDefault="004073BC" w:rsidP="009E550A"/>
        <w:p w14:paraId="20AE23AC" w14:textId="77777777" w:rsidR="004073BC" w:rsidRDefault="004073BC" w:rsidP="009E550A"/>
        <w:p w14:paraId="539B30BC" w14:textId="77777777" w:rsidR="004073BC" w:rsidRDefault="004073BC" w:rsidP="009E550A"/>
        <w:p w14:paraId="054C0D61" w14:textId="73A47FDD" w:rsidR="00E731D3" w:rsidRPr="009E550A" w:rsidRDefault="00180C02" w:rsidP="009E550A">
          <w:pPr>
            <w:pStyle w:val="paragraph"/>
            <w:spacing w:before="0" w:beforeAutospacing="0" w:after="0" w:afterAutospacing="0" w:line="360" w:lineRule="auto"/>
            <w:textAlignment w:val="baseline"/>
            <w:rPr>
              <w:rFonts w:asciiTheme="minorHAnsi" w:eastAsiaTheme="majorEastAsia" w:hAnsiTheme="minorHAnsi" w:cstheme="minorHAnsi"/>
              <w:color w:val="FFFFFF" w:themeColor="background1"/>
              <w:sz w:val="72"/>
              <w:szCs w:val="72"/>
            </w:rPr>
          </w:pPr>
          <w:r w:rsidRPr="009E550A">
            <w:rPr>
              <w:rStyle w:val="normaltextrun"/>
              <w:rFonts w:asciiTheme="minorHAnsi" w:eastAsiaTheme="majorEastAsia" w:hAnsiTheme="minorHAnsi" w:cstheme="minorHAnsi"/>
              <w:b/>
              <w:bCs/>
              <w:color w:val="FFFFFF" w:themeColor="background1"/>
              <w:sz w:val="72"/>
              <w:szCs w:val="72"/>
            </w:rPr>
            <w:t>SEPA Planning Advice Note</w:t>
          </w:r>
          <w:r w:rsidR="00E731D3" w:rsidRPr="009E550A">
            <w:rPr>
              <w:rStyle w:val="normaltextrun"/>
              <w:rFonts w:asciiTheme="minorHAnsi" w:eastAsiaTheme="majorEastAsia" w:hAnsiTheme="minorHAnsi" w:cstheme="minorHAnsi"/>
              <w:b/>
              <w:bCs/>
              <w:color w:val="FFFFFF" w:themeColor="background1"/>
              <w:sz w:val="72"/>
              <w:szCs w:val="72"/>
            </w:rPr>
            <w:t xml:space="preserve"> for </w:t>
          </w:r>
          <w:r w:rsidR="009F3504" w:rsidRPr="009E550A">
            <w:rPr>
              <w:rStyle w:val="normaltextrun"/>
              <w:rFonts w:asciiTheme="minorHAnsi" w:eastAsiaTheme="majorEastAsia" w:hAnsiTheme="minorHAnsi" w:cstheme="minorHAnsi"/>
              <w:b/>
              <w:bCs/>
              <w:color w:val="FFFFFF" w:themeColor="background1"/>
              <w:sz w:val="72"/>
              <w:szCs w:val="72"/>
            </w:rPr>
            <w:t>P</w:t>
          </w:r>
          <w:r w:rsidR="00E731D3" w:rsidRPr="009E550A">
            <w:rPr>
              <w:rStyle w:val="normaltextrun"/>
              <w:rFonts w:asciiTheme="minorHAnsi" w:eastAsiaTheme="majorEastAsia" w:hAnsiTheme="minorHAnsi" w:cstheme="minorHAnsi"/>
              <w:b/>
              <w:bCs/>
              <w:color w:val="FFFFFF" w:themeColor="background1"/>
              <w:sz w:val="72"/>
              <w:szCs w:val="72"/>
            </w:rPr>
            <w:t xml:space="preserve">lanning </w:t>
          </w:r>
          <w:r w:rsidR="009F3504" w:rsidRPr="009E550A">
            <w:rPr>
              <w:rStyle w:val="normaltextrun"/>
              <w:rFonts w:asciiTheme="minorHAnsi" w:eastAsiaTheme="majorEastAsia" w:hAnsiTheme="minorHAnsi" w:cstheme="minorHAnsi"/>
              <w:b/>
              <w:bCs/>
              <w:color w:val="FFFFFF" w:themeColor="background1"/>
              <w:sz w:val="72"/>
              <w:szCs w:val="72"/>
            </w:rPr>
            <w:t>A</w:t>
          </w:r>
          <w:r w:rsidR="00E731D3" w:rsidRPr="009E550A">
            <w:rPr>
              <w:rStyle w:val="normaltextrun"/>
              <w:rFonts w:asciiTheme="minorHAnsi" w:eastAsiaTheme="majorEastAsia" w:hAnsiTheme="minorHAnsi" w:cstheme="minorHAnsi"/>
              <w:b/>
              <w:bCs/>
              <w:color w:val="FFFFFF" w:themeColor="background1"/>
              <w:sz w:val="72"/>
              <w:szCs w:val="72"/>
            </w:rPr>
            <w:t>uthorities</w:t>
          </w:r>
          <w:r w:rsidR="39946045" w:rsidRPr="009E550A">
            <w:rPr>
              <w:rStyle w:val="normaltextrun"/>
              <w:rFonts w:asciiTheme="minorHAnsi" w:eastAsiaTheme="majorEastAsia" w:hAnsiTheme="minorHAnsi" w:cstheme="minorHAnsi"/>
              <w:b/>
              <w:bCs/>
              <w:color w:val="FFFFFF" w:themeColor="background1"/>
              <w:sz w:val="72"/>
              <w:szCs w:val="72"/>
            </w:rPr>
            <w:t xml:space="preserve"> </w:t>
          </w:r>
        </w:p>
        <w:p w14:paraId="321FB0AC" w14:textId="77777777" w:rsidR="00060FF4" w:rsidRPr="009E550A" w:rsidRDefault="00060FF4" w:rsidP="009E550A">
          <w:pPr>
            <w:pStyle w:val="paragraph"/>
            <w:spacing w:before="0" w:beforeAutospacing="0" w:after="0" w:afterAutospacing="0" w:line="360" w:lineRule="auto"/>
            <w:textAlignment w:val="baseline"/>
            <w:rPr>
              <w:rStyle w:val="normaltextrun"/>
              <w:rFonts w:asciiTheme="minorHAnsi" w:eastAsiaTheme="majorEastAsia" w:hAnsiTheme="minorHAnsi" w:cstheme="minorHAnsi"/>
              <w:b/>
              <w:bCs/>
              <w:color w:val="FFFFFF" w:themeColor="background1"/>
              <w:sz w:val="72"/>
              <w:szCs w:val="72"/>
            </w:rPr>
          </w:pPr>
        </w:p>
        <w:p w14:paraId="3D422E10" w14:textId="33006B43" w:rsidR="00180C02" w:rsidRPr="009E550A" w:rsidRDefault="00180C02" w:rsidP="009E550A">
          <w:pPr>
            <w:pStyle w:val="paragraph"/>
            <w:spacing w:before="0" w:beforeAutospacing="0" w:after="0" w:afterAutospacing="0" w:line="360" w:lineRule="auto"/>
            <w:textAlignment w:val="baseline"/>
            <w:rPr>
              <w:rStyle w:val="normaltextrun"/>
              <w:rFonts w:asciiTheme="minorHAnsi" w:eastAsiaTheme="majorEastAsia" w:hAnsiTheme="minorHAnsi" w:cstheme="minorHAnsi"/>
              <w:b/>
              <w:bCs/>
              <w:color w:val="FFFFFF" w:themeColor="background1"/>
              <w:sz w:val="72"/>
              <w:szCs w:val="72"/>
            </w:rPr>
          </w:pPr>
          <w:r w:rsidRPr="009E550A">
            <w:rPr>
              <w:rStyle w:val="normaltextrun"/>
              <w:rFonts w:asciiTheme="minorHAnsi" w:eastAsiaTheme="majorEastAsia" w:hAnsiTheme="minorHAnsi" w:cstheme="minorHAnsi"/>
              <w:b/>
              <w:bCs/>
              <w:color w:val="FFFFFF" w:themeColor="background1"/>
              <w:sz w:val="72"/>
              <w:szCs w:val="72"/>
            </w:rPr>
            <w:t xml:space="preserve">LDP Evidence Gathering: </w:t>
          </w:r>
          <w:r w:rsidR="00885191" w:rsidRPr="009E550A">
            <w:rPr>
              <w:rStyle w:val="normaltextrun"/>
              <w:rFonts w:asciiTheme="minorHAnsi" w:eastAsiaTheme="majorEastAsia" w:hAnsiTheme="minorHAnsi" w:cstheme="minorHAnsi"/>
              <w:b/>
              <w:bCs/>
              <w:color w:val="FFFFFF" w:themeColor="background1"/>
              <w:sz w:val="72"/>
              <w:szCs w:val="72"/>
            </w:rPr>
            <w:t>Achieving s</w:t>
          </w:r>
          <w:r w:rsidRPr="009E550A">
            <w:rPr>
              <w:rStyle w:val="normaltextrun"/>
              <w:rFonts w:asciiTheme="minorHAnsi" w:eastAsiaTheme="majorEastAsia" w:hAnsiTheme="minorHAnsi" w:cstheme="minorHAnsi"/>
              <w:b/>
              <w:bCs/>
              <w:color w:val="FFFFFF" w:themeColor="background1"/>
              <w:sz w:val="72"/>
              <w:szCs w:val="72"/>
            </w:rPr>
            <w:t>ufficiency of evidence relating to flood risk and the water environment</w:t>
          </w:r>
        </w:p>
        <w:p w14:paraId="433F96FF" w14:textId="77777777" w:rsidR="00060FF4" w:rsidRDefault="00060FF4" w:rsidP="009E550A">
          <w:pPr>
            <w:pStyle w:val="paragraph"/>
            <w:spacing w:before="0" w:beforeAutospacing="0" w:after="0" w:afterAutospacing="0" w:line="360" w:lineRule="auto"/>
            <w:textAlignment w:val="baseline"/>
            <w:rPr>
              <w:rStyle w:val="normaltextrun"/>
              <w:rFonts w:ascii="Aptos" w:eastAsiaTheme="majorEastAsia" w:hAnsi="Aptos" w:cs="Segoe UI"/>
              <w:b/>
              <w:bCs/>
              <w:color w:val="FFFFFF" w:themeColor="background1"/>
              <w:sz w:val="40"/>
              <w:szCs w:val="40"/>
            </w:rPr>
          </w:pPr>
        </w:p>
        <w:p w14:paraId="076D1B1A" w14:textId="74894415" w:rsidR="00885191" w:rsidRPr="00885191" w:rsidRDefault="003550BE" w:rsidP="009E550A">
          <w:pPr>
            <w:pStyle w:val="paragraph"/>
            <w:spacing w:before="0" w:beforeAutospacing="0" w:after="0" w:afterAutospacing="0" w:line="360" w:lineRule="auto"/>
            <w:textAlignment w:val="baseline"/>
            <w:rPr>
              <w:rFonts w:ascii="Segoe UI" w:hAnsi="Segoe UI" w:cs="Segoe UI"/>
              <w:color w:val="FFFFFF" w:themeColor="background1"/>
              <w:sz w:val="40"/>
              <w:szCs w:val="40"/>
            </w:rPr>
          </w:pPr>
          <w:r>
            <w:rPr>
              <w:rStyle w:val="normaltextrun"/>
              <w:rFonts w:ascii="Aptos" w:eastAsiaTheme="majorEastAsia" w:hAnsi="Aptos" w:cs="Segoe UI"/>
              <w:b/>
              <w:bCs/>
              <w:color w:val="FFFFFF" w:themeColor="background1"/>
              <w:sz w:val="40"/>
              <w:szCs w:val="40"/>
            </w:rPr>
            <w:t>December</w:t>
          </w:r>
          <w:r w:rsidR="00885191">
            <w:rPr>
              <w:rStyle w:val="normaltextrun"/>
              <w:rFonts w:ascii="Aptos" w:eastAsiaTheme="majorEastAsia" w:hAnsi="Aptos" w:cs="Segoe UI"/>
              <w:b/>
              <w:bCs/>
              <w:color w:val="FFFFFF" w:themeColor="background1"/>
              <w:sz w:val="40"/>
              <w:szCs w:val="40"/>
            </w:rPr>
            <w:t xml:space="preserve"> 2024</w:t>
          </w:r>
        </w:p>
        <w:p w14:paraId="1FFE2808" w14:textId="77777777" w:rsidR="008C1A73" w:rsidRPr="00CF7EFB" w:rsidRDefault="008C1A73" w:rsidP="009E550A">
          <w:pPr>
            <w:pStyle w:val="BodyText1"/>
            <w:rPr>
              <w:b/>
              <w:bCs/>
              <w:color w:val="FFFFFF" w:themeColor="background1"/>
              <w:sz w:val="84"/>
              <w:szCs w:val="84"/>
            </w:rPr>
          </w:pPr>
          <w:r>
            <w:br w:type="page"/>
          </w:r>
        </w:p>
      </w:sdtContent>
    </w:sdt>
    <w:p w14:paraId="623B6528" w14:textId="08D055D9" w:rsidR="00AE1DFE" w:rsidRPr="009E550A" w:rsidRDefault="004F61C3" w:rsidP="009E550A">
      <w:pPr>
        <w:pStyle w:val="Heading1"/>
        <w:spacing w:line="360" w:lineRule="auto"/>
        <w:rPr>
          <w:rFonts w:eastAsia="Times New Roman"/>
          <w:sz w:val="32"/>
        </w:rPr>
      </w:pPr>
      <w:r w:rsidRPr="009E550A">
        <w:rPr>
          <w:rFonts w:eastAsia="Times New Roman"/>
          <w:sz w:val="32"/>
        </w:rPr>
        <w:lastRenderedPageBreak/>
        <w:t>Purpose</w:t>
      </w:r>
    </w:p>
    <w:p w14:paraId="125391E5" w14:textId="6222ED2F" w:rsidR="00AE1DFE" w:rsidRPr="009E550A" w:rsidRDefault="004F61C3" w:rsidP="009E550A">
      <w:pPr>
        <w:pStyle w:val="BodyText1"/>
        <w:rPr>
          <w:rFonts w:eastAsia="Times New Roman"/>
        </w:rPr>
      </w:pPr>
      <w:r w:rsidRPr="009E550A">
        <w:rPr>
          <w:rFonts w:eastAsia="Times New Roman"/>
        </w:rPr>
        <w:t>This advice note provides guidance on providing sufficient evidence in two key areas of interest for SEPA: flood risk and the water environment</w:t>
      </w:r>
      <w:r w:rsidR="00AE1DFE" w:rsidRPr="009E550A">
        <w:rPr>
          <w:rFonts w:eastAsia="Times New Roman"/>
        </w:rPr>
        <w:t xml:space="preserve">. </w:t>
      </w:r>
      <w:r w:rsidR="5AC322FA" w:rsidRPr="009E550A">
        <w:rPr>
          <w:rFonts w:eastAsia="Times New Roman"/>
        </w:rPr>
        <w:t xml:space="preserve"> It provides supplementary </w:t>
      </w:r>
      <w:r w:rsidR="002C472B" w:rsidRPr="009E550A">
        <w:rPr>
          <w:rFonts w:eastAsia="Times New Roman"/>
        </w:rPr>
        <w:t>advice</w:t>
      </w:r>
      <w:r w:rsidR="5AC322FA" w:rsidRPr="009E550A">
        <w:rPr>
          <w:rFonts w:eastAsia="Times New Roman"/>
        </w:rPr>
        <w:t xml:space="preserve"> to the LDP Evidence Gathering Resource Pack we shared with </w:t>
      </w:r>
      <w:r w:rsidR="58131612" w:rsidRPr="009E550A">
        <w:rPr>
          <w:rFonts w:eastAsia="Times New Roman"/>
        </w:rPr>
        <w:t>planning</w:t>
      </w:r>
      <w:r w:rsidR="5AC322FA" w:rsidRPr="009E550A">
        <w:rPr>
          <w:rFonts w:eastAsia="Times New Roman"/>
        </w:rPr>
        <w:t xml:space="preserve"> authorities in November 2023 </w:t>
      </w:r>
      <w:r w:rsidR="5E907DAB" w:rsidRPr="009E550A">
        <w:rPr>
          <w:rFonts w:eastAsia="Times New Roman"/>
        </w:rPr>
        <w:t>with the aim of</w:t>
      </w:r>
      <w:r w:rsidR="3FDF4AE3" w:rsidRPr="009E550A">
        <w:rPr>
          <w:rFonts w:eastAsia="Times New Roman"/>
        </w:rPr>
        <w:t xml:space="preserve"> clarify</w:t>
      </w:r>
      <w:r w:rsidR="2841864E" w:rsidRPr="009E550A">
        <w:rPr>
          <w:rFonts w:eastAsia="Times New Roman"/>
        </w:rPr>
        <w:t>ing</w:t>
      </w:r>
      <w:r w:rsidR="3FDF4AE3" w:rsidRPr="009E550A">
        <w:rPr>
          <w:rFonts w:eastAsia="Times New Roman"/>
        </w:rPr>
        <w:t xml:space="preserve"> our expectations in </w:t>
      </w:r>
      <w:r w:rsidR="365B0479" w:rsidRPr="009E550A">
        <w:rPr>
          <w:rFonts w:eastAsia="Times New Roman"/>
        </w:rPr>
        <w:t xml:space="preserve">these areas </w:t>
      </w:r>
      <w:r w:rsidR="2FBE4EAA" w:rsidRPr="009E550A">
        <w:rPr>
          <w:rFonts w:eastAsia="Times New Roman"/>
        </w:rPr>
        <w:t xml:space="preserve">to avoid a statement of dispute. </w:t>
      </w:r>
      <w:r w:rsidR="365B0479" w:rsidRPr="009E550A">
        <w:rPr>
          <w:rFonts w:eastAsia="Times New Roman"/>
        </w:rPr>
        <w:t xml:space="preserve"> </w:t>
      </w:r>
    </w:p>
    <w:p w14:paraId="7ECFBA39" w14:textId="4B4FB2D1" w:rsidR="004F61C3" w:rsidRPr="009E550A" w:rsidRDefault="004F61C3" w:rsidP="009E550A">
      <w:pPr>
        <w:pStyle w:val="Heading1"/>
        <w:spacing w:line="360" w:lineRule="auto"/>
        <w:rPr>
          <w:rFonts w:eastAsia="Times New Roman"/>
          <w:sz w:val="32"/>
        </w:rPr>
      </w:pPr>
      <w:r w:rsidRPr="009E550A">
        <w:rPr>
          <w:rFonts w:eastAsia="Times New Roman"/>
          <w:sz w:val="32"/>
        </w:rPr>
        <w:t>Context</w:t>
      </w:r>
    </w:p>
    <w:p w14:paraId="7F2EE394" w14:textId="6E2CCB81" w:rsidR="004F61C3" w:rsidRPr="009E550A" w:rsidRDefault="00395A79" w:rsidP="009E550A">
      <w:pPr>
        <w:pStyle w:val="Heading1"/>
        <w:spacing w:line="360" w:lineRule="auto"/>
        <w:rPr>
          <w:rFonts w:asciiTheme="minorHAnsi" w:eastAsia="Times New Roman" w:hAnsiTheme="minorHAnsi" w:cstheme="minorBidi"/>
          <w:b w:val="0"/>
          <w:color w:val="auto"/>
          <w:sz w:val="24"/>
          <w:szCs w:val="24"/>
        </w:rPr>
      </w:pPr>
      <w:r w:rsidRPr="009E550A">
        <w:rPr>
          <w:rFonts w:asciiTheme="minorHAnsi" w:eastAsia="Times New Roman" w:hAnsiTheme="minorHAnsi" w:cstheme="minorBidi"/>
          <w:b w:val="0"/>
          <w:color w:val="auto"/>
          <w:sz w:val="24"/>
          <w:szCs w:val="24"/>
        </w:rPr>
        <w:t>T</w:t>
      </w:r>
      <w:r w:rsidR="004F61C3" w:rsidRPr="009E550A">
        <w:rPr>
          <w:rFonts w:asciiTheme="minorHAnsi" w:eastAsia="Times New Roman" w:hAnsiTheme="minorHAnsi" w:cstheme="minorBidi"/>
          <w:b w:val="0"/>
          <w:color w:val="auto"/>
          <w:sz w:val="24"/>
          <w:szCs w:val="24"/>
        </w:rPr>
        <w:t xml:space="preserve">he need to create climate resilient places is a central theme in NPF4.  To achieve this there is a need to understand the </w:t>
      </w:r>
      <w:r w:rsidR="005C79A9" w:rsidRPr="009E550A">
        <w:rPr>
          <w:rFonts w:asciiTheme="minorHAnsi" w:eastAsia="Times New Roman" w:hAnsiTheme="minorHAnsi" w:cstheme="minorBidi"/>
          <w:b w:val="0"/>
          <w:color w:val="auto"/>
          <w:sz w:val="24"/>
          <w:szCs w:val="24"/>
        </w:rPr>
        <w:t>challenges</w:t>
      </w:r>
      <w:r w:rsidR="004F61C3" w:rsidRPr="009E550A">
        <w:rPr>
          <w:rFonts w:asciiTheme="minorHAnsi" w:eastAsia="Times New Roman" w:hAnsiTheme="minorHAnsi" w:cstheme="minorBidi"/>
          <w:b w:val="0"/>
          <w:color w:val="auto"/>
          <w:sz w:val="24"/>
          <w:szCs w:val="24"/>
        </w:rPr>
        <w:t xml:space="preserve"> and opportunities presented by the water environment for our places.  </w:t>
      </w:r>
      <w:r w:rsidR="005311B5" w:rsidRPr="009E550A">
        <w:rPr>
          <w:rFonts w:asciiTheme="minorHAnsi" w:eastAsia="Times New Roman" w:hAnsiTheme="minorHAnsi" w:cstheme="minorBidi"/>
          <w:b w:val="0"/>
          <w:color w:val="auto"/>
          <w:sz w:val="24"/>
          <w:szCs w:val="24"/>
        </w:rPr>
        <w:t xml:space="preserve">As well as </w:t>
      </w:r>
      <w:r w:rsidR="005C79A9" w:rsidRPr="009E550A">
        <w:rPr>
          <w:rFonts w:asciiTheme="minorHAnsi" w:eastAsia="Times New Roman" w:hAnsiTheme="minorHAnsi" w:cstheme="minorBidi"/>
          <w:b w:val="0"/>
          <w:color w:val="auto"/>
          <w:sz w:val="24"/>
          <w:szCs w:val="24"/>
        </w:rPr>
        <w:t xml:space="preserve">challenges such as flood risk, </w:t>
      </w:r>
      <w:r w:rsidR="004900B5" w:rsidRPr="009E550A">
        <w:rPr>
          <w:rFonts w:asciiTheme="minorHAnsi" w:eastAsia="Times New Roman" w:hAnsiTheme="minorHAnsi" w:cstheme="minorBidi"/>
          <w:b w:val="0"/>
          <w:color w:val="auto"/>
          <w:sz w:val="24"/>
          <w:szCs w:val="24"/>
        </w:rPr>
        <w:t xml:space="preserve">understanding </w:t>
      </w:r>
      <w:r w:rsidR="005C79A9" w:rsidRPr="009E550A">
        <w:rPr>
          <w:rFonts w:asciiTheme="minorHAnsi" w:eastAsia="Times New Roman" w:hAnsiTheme="minorHAnsi" w:cstheme="minorBidi"/>
          <w:b w:val="0"/>
          <w:color w:val="auto"/>
          <w:sz w:val="24"/>
          <w:szCs w:val="24"/>
        </w:rPr>
        <w:t xml:space="preserve">the water environment </w:t>
      </w:r>
      <w:r w:rsidR="004F61C3" w:rsidRPr="009E550A">
        <w:rPr>
          <w:rFonts w:asciiTheme="minorHAnsi" w:eastAsia="Times New Roman" w:hAnsiTheme="minorHAnsi" w:cstheme="minorBidi"/>
          <w:b w:val="0"/>
          <w:color w:val="auto"/>
          <w:sz w:val="24"/>
          <w:szCs w:val="24"/>
        </w:rPr>
        <w:t xml:space="preserve">can </w:t>
      </w:r>
      <w:r w:rsidR="004839E9" w:rsidRPr="009E550A">
        <w:rPr>
          <w:rFonts w:asciiTheme="minorHAnsi" w:eastAsia="Times New Roman" w:hAnsiTheme="minorHAnsi" w:cstheme="minorBidi"/>
          <w:b w:val="0"/>
          <w:color w:val="auto"/>
          <w:sz w:val="24"/>
          <w:szCs w:val="24"/>
        </w:rPr>
        <w:t xml:space="preserve">also </w:t>
      </w:r>
      <w:r w:rsidR="004F61C3" w:rsidRPr="009E550A">
        <w:rPr>
          <w:rFonts w:asciiTheme="minorHAnsi" w:eastAsia="Times New Roman" w:hAnsiTheme="minorHAnsi" w:cstheme="minorBidi"/>
          <w:b w:val="0"/>
          <w:color w:val="auto"/>
          <w:sz w:val="24"/>
          <w:szCs w:val="24"/>
        </w:rPr>
        <w:t xml:space="preserve">deliver </w:t>
      </w:r>
      <w:r w:rsidR="00EC6AF2" w:rsidRPr="009E550A">
        <w:rPr>
          <w:rFonts w:asciiTheme="minorHAnsi" w:eastAsia="Times New Roman" w:hAnsiTheme="minorHAnsi" w:cstheme="minorBidi"/>
          <w:b w:val="0"/>
          <w:color w:val="auto"/>
          <w:sz w:val="24"/>
          <w:szCs w:val="24"/>
        </w:rPr>
        <w:t>a wide range of</w:t>
      </w:r>
      <w:r w:rsidR="004F61C3" w:rsidRPr="009E550A">
        <w:rPr>
          <w:rFonts w:asciiTheme="minorHAnsi" w:eastAsia="Times New Roman" w:hAnsiTheme="minorHAnsi" w:cstheme="minorBidi"/>
          <w:b w:val="0"/>
          <w:color w:val="auto"/>
          <w:sz w:val="24"/>
          <w:szCs w:val="24"/>
        </w:rPr>
        <w:t xml:space="preserve"> benefits </w:t>
      </w:r>
      <w:r w:rsidR="004839E9" w:rsidRPr="009E550A">
        <w:rPr>
          <w:rFonts w:asciiTheme="minorHAnsi" w:eastAsia="Times New Roman" w:hAnsiTheme="minorHAnsi" w:cstheme="minorBidi"/>
          <w:b w:val="0"/>
          <w:color w:val="auto"/>
          <w:sz w:val="24"/>
          <w:szCs w:val="24"/>
        </w:rPr>
        <w:t xml:space="preserve">for our places and communities such as </w:t>
      </w:r>
      <w:r w:rsidR="004F61C3" w:rsidRPr="009E550A">
        <w:rPr>
          <w:rFonts w:asciiTheme="minorHAnsi" w:eastAsia="Times New Roman" w:hAnsiTheme="minorHAnsi" w:cstheme="minorBidi"/>
          <w:b w:val="0"/>
          <w:color w:val="auto"/>
          <w:sz w:val="24"/>
          <w:szCs w:val="24"/>
        </w:rPr>
        <w:t xml:space="preserve">enhancing biodiversity, improving health and wellbeing and helping to reduce pressures on our water management infrastructure. SEPA holds a range of evidence relating to flood risk and the water environment that we would expect to be </w:t>
      </w:r>
      <w:r w:rsidR="006C4A76" w:rsidRPr="009E550A">
        <w:rPr>
          <w:rFonts w:asciiTheme="minorHAnsi" w:eastAsia="Times New Roman" w:hAnsiTheme="minorHAnsi" w:cstheme="minorBidi"/>
          <w:b w:val="0"/>
          <w:color w:val="auto"/>
          <w:sz w:val="24"/>
          <w:szCs w:val="24"/>
        </w:rPr>
        <w:t>included</w:t>
      </w:r>
      <w:r w:rsidR="004F61C3" w:rsidRPr="009E550A">
        <w:rPr>
          <w:rFonts w:asciiTheme="minorHAnsi" w:eastAsia="Times New Roman" w:hAnsiTheme="minorHAnsi" w:cstheme="minorBidi"/>
          <w:b w:val="0"/>
          <w:color w:val="auto"/>
          <w:sz w:val="24"/>
          <w:szCs w:val="24"/>
        </w:rPr>
        <w:t xml:space="preserve"> </w:t>
      </w:r>
      <w:r w:rsidR="00961668" w:rsidRPr="009E550A">
        <w:rPr>
          <w:rFonts w:asciiTheme="minorHAnsi" w:eastAsia="Times New Roman" w:hAnsiTheme="minorHAnsi" w:cstheme="minorBidi"/>
          <w:b w:val="0"/>
          <w:color w:val="auto"/>
          <w:sz w:val="24"/>
          <w:szCs w:val="24"/>
        </w:rPr>
        <w:t xml:space="preserve">as part of the LDP Evidence Gathering process </w:t>
      </w:r>
      <w:r w:rsidR="006C4A76" w:rsidRPr="009E550A">
        <w:rPr>
          <w:rFonts w:asciiTheme="minorHAnsi" w:eastAsia="Times New Roman" w:hAnsiTheme="minorHAnsi" w:cstheme="minorBidi"/>
          <w:b w:val="0"/>
          <w:color w:val="auto"/>
          <w:sz w:val="24"/>
          <w:szCs w:val="24"/>
        </w:rPr>
        <w:t xml:space="preserve">due </w:t>
      </w:r>
      <w:r w:rsidR="004F61C3" w:rsidRPr="009E550A">
        <w:rPr>
          <w:rFonts w:asciiTheme="minorHAnsi" w:eastAsia="Times New Roman" w:hAnsiTheme="minorHAnsi" w:cstheme="minorBidi"/>
          <w:b w:val="0"/>
          <w:color w:val="auto"/>
          <w:sz w:val="24"/>
          <w:szCs w:val="24"/>
        </w:rPr>
        <w:t>to their importance in delivering a number of NPF4 polic</w:t>
      </w:r>
      <w:r w:rsidR="7B3F0459" w:rsidRPr="009E550A">
        <w:rPr>
          <w:rFonts w:asciiTheme="minorHAnsi" w:eastAsia="Times New Roman" w:hAnsiTheme="minorHAnsi" w:cstheme="minorBidi"/>
          <w:b w:val="0"/>
          <w:color w:val="auto"/>
          <w:sz w:val="24"/>
          <w:szCs w:val="24"/>
        </w:rPr>
        <w:t>y</w:t>
      </w:r>
      <w:r w:rsidR="004F61C3" w:rsidRPr="009E550A">
        <w:rPr>
          <w:rFonts w:asciiTheme="minorHAnsi" w:eastAsia="Times New Roman" w:hAnsiTheme="minorHAnsi" w:cstheme="minorBidi"/>
          <w:b w:val="0"/>
          <w:color w:val="auto"/>
          <w:sz w:val="24"/>
          <w:szCs w:val="24"/>
        </w:rPr>
        <w:t xml:space="preserve"> areas</w:t>
      </w:r>
      <w:r w:rsidR="458093BA" w:rsidRPr="009E550A">
        <w:rPr>
          <w:rFonts w:asciiTheme="minorHAnsi" w:eastAsia="Times New Roman" w:hAnsiTheme="minorHAnsi" w:cstheme="minorBidi"/>
          <w:b w:val="0"/>
          <w:color w:val="auto"/>
          <w:sz w:val="24"/>
          <w:szCs w:val="24"/>
        </w:rPr>
        <w:t xml:space="preserve"> </w:t>
      </w:r>
      <w:r w:rsidR="10F4F658" w:rsidRPr="009E550A">
        <w:rPr>
          <w:rFonts w:asciiTheme="minorHAnsi" w:eastAsia="Times New Roman" w:hAnsiTheme="minorHAnsi" w:cstheme="minorBidi"/>
          <w:b w:val="0"/>
          <w:color w:val="auto"/>
          <w:sz w:val="24"/>
          <w:szCs w:val="24"/>
        </w:rPr>
        <w:t>-</w:t>
      </w:r>
      <w:r w:rsidR="458093BA" w:rsidRPr="009E550A">
        <w:rPr>
          <w:rFonts w:asciiTheme="minorHAnsi" w:eastAsia="Times New Roman" w:hAnsiTheme="minorHAnsi" w:cstheme="minorBidi"/>
          <w:b w:val="0"/>
          <w:color w:val="auto"/>
          <w:sz w:val="24"/>
          <w:szCs w:val="24"/>
        </w:rPr>
        <w:t xml:space="preserve"> in particular</w:t>
      </w:r>
      <w:r w:rsidR="7E8E158A" w:rsidRPr="009E550A">
        <w:rPr>
          <w:rFonts w:asciiTheme="minorHAnsi" w:eastAsia="Times New Roman" w:hAnsiTheme="minorHAnsi" w:cstheme="minorBidi"/>
          <w:b w:val="0"/>
          <w:color w:val="auto"/>
          <w:sz w:val="24"/>
          <w:szCs w:val="24"/>
        </w:rPr>
        <w:t>:</w:t>
      </w:r>
    </w:p>
    <w:p w14:paraId="1E896866" w14:textId="601B7F05" w:rsidR="004F61C3" w:rsidRPr="009E550A" w:rsidRDefault="458093BA" w:rsidP="009E550A">
      <w:pPr>
        <w:pStyle w:val="Heading1"/>
        <w:spacing w:line="360" w:lineRule="auto"/>
        <w:rPr>
          <w:rFonts w:asciiTheme="minorHAnsi" w:eastAsia="Times New Roman" w:hAnsiTheme="minorHAnsi" w:cstheme="minorBidi"/>
          <w:b w:val="0"/>
          <w:color w:val="auto"/>
          <w:sz w:val="24"/>
          <w:szCs w:val="24"/>
        </w:rPr>
      </w:pPr>
      <w:r w:rsidRPr="009E550A">
        <w:rPr>
          <w:rFonts w:asciiTheme="minorHAnsi" w:eastAsia="Times New Roman" w:hAnsiTheme="minorHAnsi" w:cstheme="minorBidi"/>
          <w:b w:val="0"/>
          <w:color w:val="auto"/>
          <w:sz w:val="24"/>
          <w:szCs w:val="24"/>
        </w:rPr>
        <w:t>Policy 4 (Natural Places</w:t>
      </w:r>
      <w:r w:rsidR="58566B09" w:rsidRPr="009E550A">
        <w:rPr>
          <w:rFonts w:asciiTheme="minorHAnsi" w:eastAsia="Times New Roman" w:hAnsiTheme="minorHAnsi" w:cstheme="minorBidi"/>
          <w:b w:val="0"/>
          <w:color w:val="auto"/>
          <w:sz w:val="24"/>
          <w:szCs w:val="24"/>
        </w:rPr>
        <w:t xml:space="preserve">) </w:t>
      </w:r>
    </w:p>
    <w:p w14:paraId="3E5C4440" w14:textId="411C34B6" w:rsidR="004F61C3" w:rsidRPr="009E550A" w:rsidRDefault="458093BA" w:rsidP="009E550A">
      <w:pPr>
        <w:pStyle w:val="Heading1"/>
        <w:spacing w:line="360" w:lineRule="auto"/>
        <w:rPr>
          <w:rFonts w:asciiTheme="minorHAnsi" w:eastAsia="Times New Roman" w:hAnsiTheme="minorHAnsi" w:cstheme="minorBidi"/>
          <w:b w:val="0"/>
          <w:color w:val="auto"/>
          <w:sz w:val="24"/>
          <w:szCs w:val="24"/>
        </w:rPr>
      </w:pPr>
      <w:r w:rsidRPr="009E550A">
        <w:rPr>
          <w:rFonts w:asciiTheme="minorHAnsi" w:eastAsia="Times New Roman" w:hAnsiTheme="minorHAnsi" w:cstheme="minorBidi"/>
          <w:b w:val="0"/>
          <w:color w:val="auto"/>
          <w:sz w:val="24"/>
          <w:szCs w:val="24"/>
        </w:rPr>
        <w:t xml:space="preserve">Policy 20 (Blue and Green Infrastructure) and </w:t>
      </w:r>
    </w:p>
    <w:p w14:paraId="01475DB1" w14:textId="25B0314B" w:rsidR="004F61C3" w:rsidRPr="009E550A" w:rsidRDefault="458093BA" w:rsidP="009E550A">
      <w:pPr>
        <w:pStyle w:val="Heading1"/>
        <w:spacing w:line="360" w:lineRule="auto"/>
        <w:rPr>
          <w:rFonts w:asciiTheme="minorHAnsi" w:eastAsia="Times New Roman" w:hAnsiTheme="minorHAnsi" w:cstheme="minorBidi"/>
          <w:b w:val="0"/>
          <w:color w:val="auto"/>
          <w:sz w:val="24"/>
          <w:szCs w:val="24"/>
        </w:rPr>
      </w:pPr>
      <w:r w:rsidRPr="009E550A">
        <w:rPr>
          <w:rFonts w:asciiTheme="minorHAnsi" w:eastAsia="Times New Roman" w:hAnsiTheme="minorHAnsi" w:cstheme="minorBidi"/>
          <w:b w:val="0"/>
          <w:color w:val="auto"/>
          <w:sz w:val="24"/>
          <w:szCs w:val="24"/>
        </w:rPr>
        <w:t>Policy 22 (Flood</w:t>
      </w:r>
      <w:r w:rsidR="64863769" w:rsidRPr="009E550A">
        <w:rPr>
          <w:rFonts w:asciiTheme="minorHAnsi" w:eastAsia="Times New Roman" w:hAnsiTheme="minorHAnsi" w:cstheme="minorBidi"/>
          <w:b w:val="0"/>
          <w:color w:val="auto"/>
          <w:sz w:val="24"/>
          <w:szCs w:val="24"/>
        </w:rPr>
        <w:t>ing</w:t>
      </w:r>
      <w:r w:rsidRPr="009E550A">
        <w:rPr>
          <w:rFonts w:asciiTheme="minorHAnsi" w:eastAsia="Times New Roman" w:hAnsiTheme="minorHAnsi" w:cstheme="minorBidi"/>
          <w:b w:val="0"/>
          <w:color w:val="auto"/>
          <w:sz w:val="24"/>
          <w:szCs w:val="24"/>
        </w:rPr>
        <w:t xml:space="preserve"> an</w:t>
      </w:r>
      <w:r w:rsidR="598C8377" w:rsidRPr="009E550A">
        <w:rPr>
          <w:rFonts w:asciiTheme="minorHAnsi" w:eastAsia="Times New Roman" w:hAnsiTheme="minorHAnsi" w:cstheme="minorBidi"/>
          <w:b w:val="0"/>
          <w:color w:val="auto"/>
          <w:sz w:val="24"/>
          <w:szCs w:val="24"/>
        </w:rPr>
        <w:t>d</w:t>
      </w:r>
      <w:r w:rsidRPr="009E550A">
        <w:rPr>
          <w:rFonts w:asciiTheme="minorHAnsi" w:eastAsia="Times New Roman" w:hAnsiTheme="minorHAnsi" w:cstheme="minorBidi"/>
          <w:b w:val="0"/>
          <w:color w:val="auto"/>
          <w:sz w:val="24"/>
          <w:szCs w:val="24"/>
        </w:rPr>
        <w:t xml:space="preserve"> </w:t>
      </w:r>
      <w:r w:rsidR="09163443" w:rsidRPr="009E550A">
        <w:rPr>
          <w:rFonts w:asciiTheme="minorHAnsi" w:eastAsia="Times New Roman" w:hAnsiTheme="minorHAnsi" w:cstheme="minorBidi"/>
          <w:b w:val="0"/>
          <w:color w:val="auto"/>
          <w:sz w:val="24"/>
          <w:szCs w:val="24"/>
        </w:rPr>
        <w:t>W</w:t>
      </w:r>
      <w:r w:rsidRPr="009E550A">
        <w:rPr>
          <w:rFonts w:asciiTheme="minorHAnsi" w:eastAsia="Times New Roman" w:hAnsiTheme="minorHAnsi" w:cstheme="minorBidi"/>
          <w:b w:val="0"/>
          <w:color w:val="auto"/>
          <w:sz w:val="24"/>
          <w:szCs w:val="24"/>
        </w:rPr>
        <w:t xml:space="preserve">ater </w:t>
      </w:r>
      <w:r w:rsidR="528A0A39" w:rsidRPr="009E550A">
        <w:rPr>
          <w:rFonts w:asciiTheme="minorHAnsi" w:eastAsia="Times New Roman" w:hAnsiTheme="minorHAnsi" w:cstheme="minorBidi"/>
          <w:b w:val="0"/>
          <w:color w:val="auto"/>
          <w:sz w:val="24"/>
          <w:szCs w:val="24"/>
        </w:rPr>
        <w:t>M</w:t>
      </w:r>
      <w:r w:rsidRPr="009E550A">
        <w:rPr>
          <w:rFonts w:asciiTheme="minorHAnsi" w:eastAsia="Times New Roman" w:hAnsiTheme="minorHAnsi" w:cstheme="minorBidi"/>
          <w:b w:val="0"/>
          <w:color w:val="auto"/>
          <w:sz w:val="24"/>
          <w:szCs w:val="24"/>
        </w:rPr>
        <w:t>anagement)</w:t>
      </w:r>
      <w:r w:rsidR="394506BB" w:rsidRPr="009E550A">
        <w:rPr>
          <w:rFonts w:asciiTheme="minorHAnsi" w:eastAsia="Times New Roman" w:hAnsiTheme="minorHAnsi" w:cstheme="minorBidi"/>
          <w:b w:val="0"/>
          <w:color w:val="auto"/>
          <w:sz w:val="24"/>
          <w:szCs w:val="24"/>
        </w:rPr>
        <w:t>.</w:t>
      </w:r>
    </w:p>
    <w:p w14:paraId="66220A74" w14:textId="74C58D24" w:rsidR="004F61C3" w:rsidRPr="009E550A" w:rsidRDefault="004F61C3" w:rsidP="009E550A">
      <w:pPr>
        <w:pStyle w:val="Heading1"/>
        <w:spacing w:line="360" w:lineRule="auto"/>
        <w:rPr>
          <w:rFonts w:eastAsia="Times New Roman"/>
          <w:sz w:val="32"/>
        </w:rPr>
      </w:pPr>
      <w:r w:rsidRPr="009E550A">
        <w:rPr>
          <w:rFonts w:eastAsia="Times New Roman"/>
          <w:sz w:val="32"/>
        </w:rPr>
        <w:t>SEPA expectations</w:t>
      </w:r>
      <w:r w:rsidR="006C4A76" w:rsidRPr="009E550A">
        <w:rPr>
          <w:rFonts w:eastAsia="Times New Roman"/>
          <w:sz w:val="32"/>
        </w:rPr>
        <w:t xml:space="preserve">: </w:t>
      </w:r>
      <w:r w:rsidRPr="009E550A">
        <w:rPr>
          <w:rFonts w:eastAsia="Times New Roman"/>
          <w:sz w:val="32"/>
        </w:rPr>
        <w:t>sufficiency of evidence</w:t>
      </w:r>
    </w:p>
    <w:p w14:paraId="7C5DD778" w14:textId="5E9686C2" w:rsidR="30247E9C" w:rsidRPr="009E550A" w:rsidRDefault="004F61C3" w:rsidP="009E550A">
      <w:pPr>
        <w:spacing w:after="120"/>
      </w:pPr>
      <w:r w:rsidRPr="009E550A">
        <w:t xml:space="preserve">The following table outlines </w:t>
      </w:r>
      <w:r w:rsidR="008D0F75" w:rsidRPr="009E550A">
        <w:t xml:space="preserve">why </w:t>
      </w:r>
      <w:r w:rsidR="00A1131E" w:rsidRPr="009E550A">
        <w:t xml:space="preserve">we </w:t>
      </w:r>
      <w:r w:rsidR="004755BC" w:rsidRPr="009E550A">
        <w:t>expect</w:t>
      </w:r>
      <w:r w:rsidRPr="009E550A">
        <w:t xml:space="preserve"> </w:t>
      </w:r>
      <w:r w:rsidR="00254571" w:rsidRPr="009E550A">
        <w:t xml:space="preserve">the </w:t>
      </w:r>
      <w:r w:rsidR="003E33DA" w:rsidRPr="009E550A">
        <w:t xml:space="preserve">inclusion and use of </w:t>
      </w:r>
      <w:r w:rsidRPr="009E550A">
        <w:t xml:space="preserve">evidence </w:t>
      </w:r>
      <w:r w:rsidR="00A3070D" w:rsidRPr="009E550A">
        <w:t>relating to flood risk and the water environment</w:t>
      </w:r>
      <w:r w:rsidR="00DC6469" w:rsidRPr="009E550A">
        <w:t xml:space="preserve"> and</w:t>
      </w:r>
      <w:r w:rsidRPr="009E550A">
        <w:t xml:space="preserve"> </w:t>
      </w:r>
      <w:r w:rsidR="00DC6469" w:rsidRPr="009E550A">
        <w:t>our</w:t>
      </w:r>
      <w:r w:rsidR="008D0F75" w:rsidRPr="009E550A">
        <w:t xml:space="preserve"> requirements </w:t>
      </w:r>
      <w:r w:rsidR="006959BD" w:rsidRPr="009E550A">
        <w:t xml:space="preserve">to </w:t>
      </w:r>
      <w:r w:rsidR="00D7559F" w:rsidRPr="009E550A">
        <w:t xml:space="preserve">achieve sufficiency </w:t>
      </w:r>
      <w:r w:rsidR="00DC6469" w:rsidRPr="009E550A">
        <w:t xml:space="preserve">of evidence </w:t>
      </w:r>
      <w:r w:rsidR="00D7559F" w:rsidRPr="009E550A">
        <w:t>(and therefore</w:t>
      </w:r>
      <w:r w:rsidR="00080188" w:rsidRPr="009E550A">
        <w:t xml:space="preserve"> avoid</w:t>
      </w:r>
      <w:r w:rsidRPr="009E550A">
        <w:t xml:space="preserve"> a </w:t>
      </w:r>
      <w:r w:rsidR="00080188" w:rsidRPr="009E550A">
        <w:t xml:space="preserve">statement of </w:t>
      </w:r>
      <w:r w:rsidRPr="009E550A">
        <w:t>dispute</w:t>
      </w:r>
      <w:r w:rsidR="00D7559F" w:rsidRPr="009E550A">
        <w:t>)</w:t>
      </w:r>
      <w:r w:rsidR="007A5C32" w:rsidRPr="009E550A">
        <w:t xml:space="preserve">. </w:t>
      </w:r>
      <w:r w:rsidRPr="009E550A">
        <w:t xml:space="preserve"> </w:t>
      </w:r>
      <w:r w:rsidR="007A5C32" w:rsidRPr="009E550A">
        <w:t>It al</w:t>
      </w:r>
      <w:r w:rsidR="000874AA" w:rsidRPr="009E550A">
        <w:t>so</w:t>
      </w:r>
      <w:r w:rsidRPr="009E550A">
        <w:t xml:space="preserve"> </w:t>
      </w:r>
      <w:r w:rsidR="00C52D14" w:rsidRPr="009E550A">
        <w:t xml:space="preserve">provides </w:t>
      </w:r>
      <w:r w:rsidR="00D7559F" w:rsidRPr="009E550A">
        <w:t xml:space="preserve">links to </w:t>
      </w:r>
      <w:r w:rsidRPr="009E550A">
        <w:t xml:space="preserve">where the </w:t>
      </w:r>
      <w:r w:rsidR="00A1131E" w:rsidRPr="009E550A">
        <w:t xml:space="preserve">relevant </w:t>
      </w:r>
      <w:r w:rsidR="00080188" w:rsidRPr="009E550A">
        <w:t>evidence and a</w:t>
      </w:r>
      <w:r w:rsidR="00D74925" w:rsidRPr="009E550A">
        <w:t>ny associated</w:t>
      </w:r>
      <w:r w:rsidRPr="009E550A">
        <w:t xml:space="preserve"> guidance</w:t>
      </w:r>
      <w:r w:rsidR="00D74925" w:rsidRPr="009E550A">
        <w:t xml:space="preserve"> can be found</w:t>
      </w:r>
      <w:r w:rsidRPr="009E550A">
        <w:t xml:space="preserve">.  </w:t>
      </w:r>
    </w:p>
    <w:p w14:paraId="268AF4D8" w14:textId="5C565D82" w:rsidR="004F61C3" w:rsidRDefault="004F61C3" w:rsidP="009E550A">
      <w:pPr>
        <w:sectPr w:rsidR="004F61C3" w:rsidSect="00917BB1">
          <w:headerReference w:type="default" r:id="rId13"/>
          <w:footerReference w:type="even" r:id="rId14"/>
          <w:footerReference w:type="default" r:id="rId15"/>
          <w:headerReference w:type="first" r:id="rId16"/>
          <w:footerReference w:type="first" r:id="rId17"/>
          <w:pgSz w:w="11900" w:h="16840"/>
          <w:pgMar w:top="839" w:right="839" w:bottom="839" w:left="839" w:header="794" w:footer="567" w:gutter="0"/>
          <w:pgNumType w:start="0"/>
          <w:cols w:space="708"/>
          <w:titlePg/>
          <w:docGrid w:linePitch="360"/>
        </w:sectPr>
      </w:pPr>
    </w:p>
    <w:p w14:paraId="4D5A7853" w14:textId="77777777" w:rsidR="004F61C3" w:rsidRPr="004F61C3" w:rsidRDefault="004F61C3" w:rsidP="009E550A"/>
    <w:p w14:paraId="712D18A8" w14:textId="43534CB6" w:rsidR="00AE1DFE" w:rsidRPr="00650B15" w:rsidRDefault="004C2B8D" w:rsidP="009E550A">
      <w:pPr>
        <w:pStyle w:val="BodyText1"/>
        <w:rPr>
          <w:rFonts w:eastAsia="Times New Roman"/>
          <w:b/>
          <w:bCs/>
        </w:rPr>
      </w:pPr>
      <w:r w:rsidRPr="004C2B8D">
        <w:rPr>
          <w:rFonts w:asciiTheme="majorHAnsi" w:eastAsia="Times New Roman" w:hAnsiTheme="majorHAnsi" w:cstheme="majorBidi"/>
          <w:b/>
          <w:bCs/>
          <w:color w:val="016574" w:themeColor="accent2"/>
          <w:sz w:val="40"/>
          <w:szCs w:val="32"/>
        </w:rPr>
        <w:t>Achieving sufficiency of evidence for flood risk and the water environment</w:t>
      </w:r>
    </w:p>
    <w:tbl>
      <w:tblPr>
        <w:tblW w:w="499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x: xxxx"/>
        <w:tblDescription w:val="Add alt text"/>
      </w:tblPr>
      <w:tblGrid>
        <w:gridCol w:w="2254"/>
        <w:gridCol w:w="6095"/>
        <w:gridCol w:w="6794"/>
      </w:tblGrid>
      <w:tr w:rsidR="00326AE8" w:rsidRPr="00AE1DFE" w14:paraId="12866A83" w14:textId="77777777" w:rsidTr="00691781">
        <w:trPr>
          <w:trHeight w:val="610"/>
          <w:tblHeader/>
        </w:trPr>
        <w:tc>
          <w:tcPr>
            <w:tcW w:w="744" w:type="pct"/>
            <w:shd w:val="clear" w:color="auto" w:fill="016574" w:themeFill="accent6"/>
            <w:noWrap/>
            <w:tcMar>
              <w:top w:w="0" w:type="dxa"/>
              <w:left w:w="108" w:type="dxa"/>
              <w:bottom w:w="0" w:type="dxa"/>
              <w:right w:w="108" w:type="dxa"/>
            </w:tcMar>
            <w:vAlign w:val="center"/>
            <w:hideMark/>
          </w:tcPr>
          <w:p w14:paraId="30970DFF" w14:textId="742453E5" w:rsidR="00326AE8" w:rsidRPr="00AE1DFE" w:rsidRDefault="00326AE8" w:rsidP="009E550A">
            <w:pPr>
              <w:spacing w:before="120" w:after="120"/>
              <w:jc w:val="center"/>
              <w:rPr>
                <w:rFonts w:ascii="Arial" w:eastAsia="Times New Roman" w:hAnsi="Arial" w:cs="Arial"/>
                <w:b/>
                <w:bCs/>
                <w:color w:val="FFFFFF"/>
                <w:lang w:eastAsia="en-GB"/>
              </w:rPr>
            </w:pPr>
          </w:p>
        </w:tc>
        <w:tc>
          <w:tcPr>
            <w:tcW w:w="2012" w:type="pct"/>
            <w:shd w:val="clear" w:color="auto" w:fill="016574" w:themeFill="accent6"/>
            <w:noWrap/>
            <w:tcMar>
              <w:top w:w="0" w:type="dxa"/>
              <w:left w:w="108" w:type="dxa"/>
              <w:bottom w:w="0" w:type="dxa"/>
              <w:right w:w="108" w:type="dxa"/>
            </w:tcMar>
            <w:vAlign w:val="center"/>
            <w:hideMark/>
          </w:tcPr>
          <w:p w14:paraId="2E00B03A" w14:textId="368C9320" w:rsidR="00326AE8" w:rsidRPr="00AE1DFE" w:rsidRDefault="00326AE8" w:rsidP="009E550A">
            <w:pPr>
              <w:spacing w:before="120" w:after="120"/>
              <w:jc w:val="center"/>
              <w:rPr>
                <w:rFonts w:ascii="Arial" w:eastAsia="Times New Roman" w:hAnsi="Arial" w:cs="Arial"/>
                <w:b/>
                <w:bCs/>
                <w:color w:val="FFFFFF"/>
                <w:lang w:eastAsia="en-GB"/>
              </w:rPr>
            </w:pPr>
            <w:r>
              <w:rPr>
                <w:rFonts w:ascii="Arial" w:eastAsia="Times New Roman" w:hAnsi="Arial" w:cs="Arial"/>
                <w:b/>
                <w:bCs/>
                <w:color w:val="FFFFFF"/>
                <w:lang w:eastAsia="en-GB"/>
              </w:rPr>
              <w:t>Flood risk</w:t>
            </w:r>
          </w:p>
        </w:tc>
        <w:tc>
          <w:tcPr>
            <w:tcW w:w="2243" w:type="pct"/>
            <w:shd w:val="clear" w:color="auto" w:fill="016574" w:themeFill="accent6"/>
            <w:noWrap/>
            <w:tcMar>
              <w:top w:w="0" w:type="dxa"/>
              <w:left w:w="108" w:type="dxa"/>
              <w:bottom w:w="0" w:type="dxa"/>
              <w:right w:w="108" w:type="dxa"/>
            </w:tcMar>
            <w:vAlign w:val="center"/>
            <w:hideMark/>
          </w:tcPr>
          <w:p w14:paraId="6B756A93" w14:textId="7DE44632" w:rsidR="00326AE8" w:rsidRPr="00AE1DFE" w:rsidRDefault="00326AE8" w:rsidP="009E550A">
            <w:pPr>
              <w:spacing w:before="120" w:after="120"/>
              <w:jc w:val="center"/>
              <w:rPr>
                <w:rFonts w:ascii="Arial" w:eastAsia="Times New Roman" w:hAnsi="Arial" w:cs="Arial"/>
                <w:b/>
                <w:bCs/>
                <w:color w:val="FFFFFF"/>
                <w:lang w:eastAsia="en-GB"/>
              </w:rPr>
            </w:pPr>
            <w:r>
              <w:rPr>
                <w:rFonts w:ascii="Arial" w:eastAsia="Times New Roman" w:hAnsi="Arial" w:cs="Arial"/>
                <w:b/>
                <w:bCs/>
                <w:color w:val="FFFFFF"/>
                <w:lang w:eastAsia="en-GB"/>
              </w:rPr>
              <w:t>Water environment</w:t>
            </w:r>
          </w:p>
        </w:tc>
      </w:tr>
      <w:tr w:rsidR="00326AE8" w:rsidRPr="00AE1DFE" w14:paraId="558AB754" w14:textId="77777777" w:rsidTr="00691781">
        <w:trPr>
          <w:trHeight w:val="315"/>
        </w:trPr>
        <w:tc>
          <w:tcPr>
            <w:tcW w:w="744" w:type="pct"/>
            <w:noWrap/>
            <w:tcMar>
              <w:top w:w="0" w:type="dxa"/>
              <w:left w:w="108" w:type="dxa"/>
              <w:bottom w:w="0" w:type="dxa"/>
              <w:right w:w="108" w:type="dxa"/>
            </w:tcMar>
          </w:tcPr>
          <w:p w14:paraId="228D5DF3" w14:textId="34115E61" w:rsidR="00326AE8" w:rsidRPr="00AE1DFE" w:rsidRDefault="004C2B8D" w:rsidP="009E550A">
            <w:pPr>
              <w:spacing w:before="120" w:after="120"/>
              <w:rPr>
                <w:rFonts w:ascii="Arial" w:eastAsia="Times New Roman" w:hAnsi="Arial" w:cs="Arial"/>
                <w:lang w:eastAsia="en-GB"/>
              </w:rPr>
            </w:pPr>
            <w:r w:rsidRPr="004C2B8D">
              <w:rPr>
                <w:rFonts w:ascii="Arial" w:eastAsia="Times New Roman" w:hAnsi="Arial" w:cs="Arial"/>
                <w:b/>
                <w:bCs/>
                <w:lang w:eastAsia="en-GB"/>
              </w:rPr>
              <w:t>Why are we asking for evidence in this area? </w:t>
            </w:r>
          </w:p>
        </w:tc>
        <w:tc>
          <w:tcPr>
            <w:tcW w:w="2012" w:type="pct"/>
            <w:noWrap/>
            <w:tcMar>
              <w:top w:w="0" w:type="dxa"/>
              <w:left w:w="108" w:type="dxa"/>
              <w:bottom w:w="0" w:type="dxa"/>
              <w:right w:w="108" w:type="dxa"/>
            </w:tcMar>
          </w:tcPr>
          <w:p w14:paraId="3E137D03" w14:textId="720D245D" w:rsidR="00326AE8" w:rsidRPr="00326AE8" w:rsidRDefault="2E5DC268" w:rsidP="009E550A">
            <w:pPr>
              <w:spacing w:before="120" w:after="120"/>
              <w:rPr>
                <w:rFonts w:ascii="Arial" w:eastAsia="Times New Roman" w:hAnsi="Arial" w:cs="Arial"/>
                <w:lang w:eastAsia="en-GB"/>
              </w:rPr>
            </w:pPr>
            <w:r w:rsidRPr="0394FE30">
              <w:rPr>
                <w:rFonts w:ascii="Arial" w:eastAsia="Times New Roman" w:hAnsi="Arial" w:cs="Arial"/>
                <w:lang w:eastAsia="en-GB"/>
              </w:rPr>
              <w:t>Th</w:t>
            </w:r>
            <w:r w:rsidR="08EC47B4" w:rsidRPr="0394FE30">
              <w:rPr>
                <w:rFonts w:ascii="Arial" w:eastAsia="Times New Roman" w:hAnsi="Arial" w:cs="Arial"/>
                <w:lang w:eastAsia="en-GB"/>
              </w:rPr>
              <w:t>e</w:t>
            </w:r>
            <w:r w:rsidR="56B63617" w:rsidRPr="30247E9C">
              <w:rPr>
                <w:rFonts w:ascii="Arial" w:eastAsia="Times New Roman" w:hAnsi="Arial" w:cs="Arial"/>
                <w:lang w:eastAsia="en-GB"/>
              </w:rPr>
              <w:t xml:space="preserve"> inclusion of</w:t>
            </w:r>
            <w:r w:rsidR="00326AE8" w:rsidRPr="00326AE8">
              <w:rPr>
                <w:rFonts w:ascii="Arial" w:eastAsia="Times New Roman" w:hAnsi="Arial" w:cs="Arial"/>
                <w:lang w:eastAsia="en-GB"/>
              </w:rPr>
              <w:t xml:space="preserve"> evidence relating to flood risk </w:t>
            </w:r>
            <w:r w:rsidR="74CAAD54" w:rsidRPr="0394FE30">
              <w:rPr>
                <w:rFonts w:ascii="Arial" w:eastAsia="Times New Roman" w:hAnsi="Arial" w:cs="Arial"/>
                <w:lang w:eastAsia="en-GB"/>
              </w:rPr>
              <w:t>is needed</w:t>
            </w:r>
            <w:r w:rsidR="3BEA4E7F" w:rsidRPr="0394FE30">
              <w:rPr>
                <w:rFonts w:ascii="Arial" w:eastAsia="Times New Roman" w:hAnsi="Arial" w:cs="Arial"/>
                <w:lang w:eastAsia="en-GB"/>
              </w:rPr>
              <w:t xml:space="preserve"> </w:t>
            </w:r>
            <w:r w:rsidR="00326AE8" w:rsidRPr="00326AE8">
              <w:rPr>
                <w:rFonts w:ascii="Arial" w:eastAsia="Times New Roman" w:hAnsi="Arial" w:cs="Arial"/>
                <w:lang w:eastAsia="en-GB"/>
              </w:rPr>
              <w:t>to successfully deliver the policy intent and outcomes of NPF4 Policy 22.</w:t>
            </w:r>
            <w:r w:rsidR="71FF2B24" w:rsidRPr="30247E9C">
              <w:rPr>
                <w:rFonts w:ascii="Arial" w:eastAsia="Times New Roman" w:hAnsi="Arial" w:cs="Arial"/>
                <w:lang w:eastAsia="en-GB"/>
              </w:rPr>
              <w:t> </w:t>
            </w:r>
            <w:r w:rsidR="00326AE8" w:rsidRPr="00326AE8">
              <w:rPr>
                <w:rFonts w:ascii="Arial" w:eastAsia="Times New Roman" w:hAnsi="Arial" w:cs="Arial"/>
                <w:lang w:eastAsia="en-GB"/>
              </w:rPr>
              <w:t>  </w:t>
            </w:r>
          </w:p>
          <w:p w14:paraId="4D504CB5" w14:textId="6AB648B2" w:rsidR="00326AE8" w:rsidRPr="00326AE8" w:rsidRDefault="00326AE8" w:rsidP="009E550A">
            <w:pPr>
              <w:spacing w:before="120" w:after="120"/>
              <w:rPr>
                <w:rFonts w:ascii="Arial" w:eastAsia="Times New Roman" w:hAnsi="Arial" w:cs="Arial"/>
                <w:lang w:eastAsia="en-GB"/>
              </w:rPr>
            </w:pPr>
            <w:r w:rsidRPr="00326AE8">
              <w:rPr>
                <w:rFonts w:ascii="Arial" w:eastAsia="Times New Roman" w:hAnsi="Arial" w:cs="Arial"/>
                <w:lang w:eastAsia="en-GB"/>
              </w:rPr>
              <w:t>Policy 22 states that LDPs should strengthen community resilience to the current and future impacts of climate change by avoiding development in areas at flood risk as a first principle. To achieve this, it states that plans should take into account the probability of flooding from all sources and make use of relevant flood risk plans for the area.  </w:t>
            </w:r>
          </w:p>
          <w:p w14:paraId="1C9BA2DC" w14:textId="77777777" w:rsidR="00326AE8" w:rsidRPr="00326AE8" w:rsidRDefault="00326AE8" w:rsidP="009E550A">
            <w:pPr>
              <w:spacing w:before="120" w:after="120"/>
              <w:rPr>
                <w:rFonts w:ascii="Arial" w:eastAsia="Times New Roman" w:hAnsi="Arial" w:cs="Arial"/>
                <w:lang w:eastAsia="en-GB"/>
              </w:rPr>
            </w:pPr>
            <w:r w:rsidRPr="00326AE8">
              <w:rPr>
                <w:rFonts w:ascii="Arial" w:eastAsia="Times New Roman" w:hAnsi="Arial" w:cs="Arial"/>
                <w:lang w:eastAsia="en-GB"/>
              </w:rPr>
              <w:t>The Scottish Government’s Local development planning guidance identifies Strategic Flood Risk Assessment (SFRA) as being a relevant source of information for the Evidence Report. </w:t>
            </w:r>
          </w:p>
          <w:p w14:paraId="2459FF7B" w14:textId="18326182" w:rsidR="00326AE8" w:rsidRPr="00AE1DFE" w:rsidRDefault="00326AE8" w:rsidP="009E550A">
            <w:pPr>
              <w:spacing w:before="120" w:after="120"/>
              <w:rPr>
                <w:rFonts w:ascii="Arial" w:eastAsia="Times New Roman" w:hAnsi="Arial" w:cs="Arial"/>
                <w:lang w:eastAsia="en-GB"/>
              </w:rPr>
            </w:pPr>
          </w:p>
        </w:tc>
        <w:tc>
          <w:tcPr>
            <w:tcW w:w="2243" w:type="pct"/>
            <w:noWrap/>
            <w:tcMar>
              <w:top w:w="0" w:type="dxa"/>
              <w:left w:w="108" w:type="dxa"/>
              <w:bottom w:w="0" w:type="dxa"/>
              <w:right w:w="108" w:type="dxa"/>
            </w:tcMar>
          </w:tcPr>
          <w:p w14:paraId="285AA815" w14:textId="68C942EC" w:rsidR="004C2B8D" w:rsidRPr="004C2B8D" w:rsidRDefault="0418000C" w:rsidP="009E550A">
            <w:pPr>
              <w:spacing w:before="120" w:after="120"/>
              <w:rPr>
                <w:rFonts w:ascii="Arial" w:eastAsia="Times New Roman" w:hAnsi="Arial" w:cs="Arial"/>
                <w:lang w:eastAsia="en-GB"/>
              </w:rPr>
            </w:pPr>
            <w:r w:rsidRPr="0394FE30">
              <w:rPr>
                <w:rFonts w:ascii="Arial" w:eastAsia="Times New Roman" w:hAnsi="Arial" w:cs="Arial"/>
                <w:lang w:eastAsia="en-GB"/>
              </w:rPr>
              <w:t>The</w:t>
            </w:r>
            <w:r w:rsidR="15F24913" w:rsidRPr="30247E9C">
              <w:rPr>
                <w:rFonts w:ascii="Arial" w:eastAsia="Times New Roman" w:hAnsi="Arial" w:cs="Arial"/>
                <w:lang w:eastAsia="en-GB"/>
              </w:rPr>
              <w:t xml:space="preserve"> inclusion of</w:t>
            </w:r>
            <w:r w:rsidR="004C2B8D" w:rsidRPr="004C2B8D">
              <w:rPr>
                <w:rFonts w:ascii="Arial" w:eastAsia="Times New Roman" w:hAnsi="Arial" w:cs="Arial"/>
                <w:lang w:eastAsia="en-GB"/>
              </w:rPr>
              <w:t xml:space="preserve"> evidence relating to the water environment </w:t>
            </w:r>
            <w:r w:rsidR="1EC3AC33" w:rsidRPr="0394FE30">
              <w:rPr>
                <w:rFonts w:ascii="Arial" w:eastAsia="Times New Roman" w:hAnsi="Arial" w:cs="Arial"/>
                <w:lang w:eastAsia="en-GB"/>
              </w:rPr>
              <w:t xml:space="preserve">is needed </w:t>
            </w:r>
            <w:r w:rsidR="004C2B8D" w:rsidRPr="004C2B8D">
              <w:rPr>
                <w:rFonts w:ascii="Arial" w:eastAsia="Times New Roman" w:hAnsi="Arial" w:cs="Arial"/>
                <w:lang w:eastAsia="en-GB"/>
              </w:rPr>
              <w:t>to deliver the policy intent and outcomes for Nature Networks (Policy 4), Blue and Green Infrastructure (Policy 20) and Flooding and Water Management (Policy 22) of NPF4.   </w:t>
            </w:r>
          </w:p>
          <w:p w14:paraId="4252370C" w14:textId="02AC6037" w:rsidR="004C2B8D" w:rsidRPr="004C2B8D" w:rsidRDefault="004C2B8D" w:rsidP="009E550A">
            <w:pPr>
              <w:spacing w:before="120" w:after="120"/>
              <w:rPr>
                <w:rFonts w:ascii="Arial" w:eastAsia="Times New Roman" w:hAnsi="Arial" w:cs="Arial"/>
                <w:lang w:eastAsia="en-GB"/>
              </w:rPr>
            </w:pPr>
            <w:r w:rsidRPr="004C2B8D">
              <w:rPr>
                <w:rFonts w:ascii="Arial" w:eastAsia="Times New Roman" w:hAnsi="Arial" w:cs="Arial"/>
                <w:lang w:eastAsia="en-GB"/>
              </w:rPr>
              <w:t xml:space="preserve">Policy 4 states that spatial strategies should better connect nature rich areas by establishing and growing nature networks (NN) to help protect and restore the biodiversity, ecosystems and natural processes in </w:t>
            </w:r>
            <w:r w:rsidR="001F0185">
              <w:rPr>
                <w:rFonts w:ascii="Arial" w:eastAsia="Times New Roman" w:hAnsi="Arial" w:cs="Arial"/>
                <w:lang w:eastAsia="en-GB"/>
              </w:rPr>
              <w:t>the</w:t>
            </w:r>
            <w:r w:rsidRPr="004C2B8D">
              <w:rPr>
                <w:rFonts w:ascii="Arial" w:eastAsia="Times New Roman" w:hAnsi="Arial" w:cs="Arial"/>
                <w:lang w:eastAsia="en-GB"/>
              </w:rPr>
              <w:t xml:space="preserve"> area. The NPF4 glossary defines a nature network as a joined-up system of places important for wild plants and animals, on land and in water. </w:t>
            </w:r>
          </w:p>
          <w:p w14:paraId="67A390AF" w14:textId="620CBF3E" w:rsidR="004C2B8D" w:rsidRPr="004C2B8D" w:rsidRDefault="004C2B8D" w:rsidP="009E550A">
            <w:pPr>
              <w:spacing w:before="120" w:after="120"/>
              <w:rPr>
                <w:rFonts w:ascii="Arial" w:eastAsia="Times New Roman" w:hAnsi="Arial" w:cs="Arial"/>
                <w:lang w:eastAsia="en-GB"/>
              </w:rPr>
            </w:pPr>
            <w:r w:rsidRPr="004C2B8D">
              <w:rPr>
                <w:rFonts w:ascii="Arial" w:eastAsia="Times New Roman" w:hAnsi="Arial" w:cs="Arial"/>
                <w:lang w:eastAsia="en-GB"/>
              </w:rPr>
              <w:t>Policy 20 states that LDPs should be informed by relevant, up-to-date audits and/or strategies, covering the multiple functions and benefits of blue and green infrastructure.  Blue infrastructure is defined in the NPF4 glossary and includes water environment features within the natural and built environments that provide a range of ecosystem services.   </w:t>
            </w:r>
          </w:p>
          <w:p w14:paraId="1153BF4F" w14:textId="77777777" w:rsidR="00326AE8" w:rsidRDefault="004C2B8D" w:rsidP="009E550A">
            <w:pPr>
              <w:spacing w:before="120" w:after="120"/>
              <w:rPr>
                <w:rFonts w:ascii="Arial" w:eastAsia="Times New Roman" w:hAnsi="Arial" w:cs="Arial"/>
                <w:lang w:eastAsia="en-GB"/>
              </w:rPr>
            </w:pPr>
            <w:r w:rsidRPr="004C2B8D">
              <w:rPr>
                <w:rFonts w:ascii="Arial" w:eastAsia="Times New Roman" w:hAnsi="Arial" w:cs="Arial"/>
                <w:lang w:eastAsia="en-GB"/>
              </w:rPr>
              <w:lastRenderedPageBreak/>
              <w:t xml:space="preserve">Policy 22 states that LDPs should make use of river basin management plans for the area and has a policy intent that water resources are used efficiently and sustainably.   Regulation 9 of </w:t>
            </w:r>
            <w:hyperlink r:id="rId18" w:tgtFrame="_blank" w:history="1">
              <w:r w:rsidRPr="004C2B8D">
                <w:rPr>
                  <w:rStyle w:val="Hyperlink"/>
                  <w:rFonts w:ascii="Arial" w:eastAsia="Times New Roman" w:hAnsi="Arial" w:cs="Arial"/>
                  <w:lang w:eastAsia="en-GB"/>
                </w:rPr>
                <w:t>The Town and Country Planning (Development Planning) (Scotland) Regulations 2023</w:t>
              </w:r>
            </w:hyperlink>
            <w:r w:rsidRPr="004C2B8D">
              <w:rPr>
                <w:rFonts w:ascii="Arial" w:eastAsia="Times New Roman" w:hAnsi="Arial" w:cs="Arial"/>
                <w:lang w:eastAsia="en-GB"/>
              </w:rPr>
              <w:t xml:space="preserve"> requires planning authorities to have regard to the River Basin Management Plan in the preparation of their LDP. </w:t>
            </w:r>
          </w:p>
          <w:p w14:paraId="2BAAE11C" w14:textId="667D7C37" w:rsidR="00326AE8" w:rsidRPr="00AE1DFE" w:rsidRDefault="00326AE8" w:rsidP="009E550A">
            <w:pPr>
              <w:spacing w:before="120" w:after="120"/>
              <w:rPr>
                <w:rFonts w:ascii="Arial" w:eastAsia="Times New Roman" w:hAnsi="Arial" w:cs="Arial"/>
                <w:lang w:eastAsia="en-GB"/>
              </w:rPr>
            </w:pPr>
          </w:p>
        </w:tc>
      </w:tr>
      <w:tr w:rsidR="00326AE8" w:rsidRPr="00AE1DFE" w14:paraId="1F3A92DD" w14:textId="77777777" w:rsidTr="00691781">
        <w:trPr>
          <w:trHeight w:val="300"/>
        </w:trPr>
        <w:tc>
          <w:tcPr>
            <w:tcW w:w="744" w:type="pct"/>
            <w:noWrap/>
            <w:tcMar>
              <w:top w:w="0" w:type="dxa"/>
              <w:left w:w="108" w:type="dxa"/>
              <w:bottom w:w="0" w:type="dxa"/>
              <w:right w:w="108" w:type="dxa"/>
            </w:tcMar>
          </w:tcPr>
          <w:p w14:paraId="5586F908" w14:textId="42948145" w:rsidR="00326AE8" w:rsidRPr="00AE1DFE" w:rsidRDefault="131CD35D" w:rsidP="009E550A">
            <w:pPr>
              <w:spacing w:before="120" w:after="120"/>
              <w:rPr>
                <w:rFonts w:ascii="Arial" w:eastAsia="Times New Roman" w:hAnsi="Arial" w:cs="Arial"/>
                <w:b/>
                <w:lang w:eastAsia="en-GB"/>
              </w:rPr>
            </w:pPr>
            <w:r w:rsidRPr="0394FE30">
              <w:rPr>
                <w:rFonts w:ascii="Arial" w:eastAsia="Times New Roman" w:hAnsi="Arial" w:cs="Arial"/>
                <w:b/>
                <w:bCs/>
                <w:lang w:eastAsia="en-GB"/>
              </w:rPr>
              <w:lastRenderedPageBreak/>
              <w:t>SEPA e</w:t>
            </w:r>
            <w:r w:rsidR="65945FED" w:rsidRPr="0394FE30">
              <w:rPr>
                <w:rFonts w:ascii="Arial" w:eastAsia="Times New Roman" w:hAnsi="Arial" w:cs="Arial"/>
                <w:b/>
                <w:bCs/>
                <w:lang w:eastAsia="en-GB"/>
              </w:rPr>
              <w:t>vidence</w:t>
            </w:r>
            <w:r w:rsidR="691DAB29" w:rsidRPr="30247E9C">
              <w:rPr>
                <w:rFonts w:ascii="Arial" w:eastAsia="Times New Roman" w:hAnsi="Arial" w:cs="Arial"/>
                <w:b/>
                <w:bCs/>
                <w:lang w:eastAsia="en-GB"/>
              </w:rPr>
              <w:t xml:space="preserve"> requirements to achieve sufficiency</w:t>
            </w:r>
            <w:r w:rsidR="00E731D3" w:rsidRPr="30247E9C">
              <w:rPr>
                <w:rFonts w:ascii="Arial" w:eastAsia="Times New Roman" w:hAnsi="Arial" w:cs="Arial"/>
                <w:b/>
                <w:bCs/>
                <w:lang w:eastAsia="en-GB"/>
              </w:rPr>
              <w:t xml:space="preserve"> i.e. </w:t>
            </w:r>
            <w:r w:rsidR="00E731D3" w:rsidRPr="00E731D3">
              <w:rPr>
                <w:rFonts w:ascii="Arial" w:eastAsia="Times New Roman" w:hAnsi="Arial" w:cs="Arial"/>
                <w:b/>
                <w:bCs/>
                <w:lang w:eastAsia="en-GB"/>
              </w:rPr>
              <w:t xml:space="preserve">to </w:t>
            </w:r>
            <w:r w:rsidR="03609230" w:rsidRPr="30247E9C">
              <w:rPr>
                <w:rFonts w:ascii="Arial" w:eastAsia="Times New Roman" w:hAnsi="Arial" w:cs="Arial"/>
                <w:b/>
                <w:bCs/>
                <w:lang w:eastAsia="en-GB"/>
              </w:rPr>
              <w:t>avoid</w:t>
            </w:r>
            <w:r w:rsidR="00E731D3" w:rsidRPr="00E731D3">
              <w:rPr>
                <w:rFonts w:ascii="Arial" w:eastAsia="Times New Roman" w:hAnsi="Arial" w:cs="Arial"/>
                <w:b/>
                <w:bCs/>
                <w:lang w:eastAsia="en-GB"/>
              </w:rPr>
              <w:t xml:space="preserve"> a statement of dispute</w:t>
            </w:r>
          </w:p>
        </w:tc>
        <w:tc>
          <w:tcPr>
            <w:tcW w:w="2012" w:type="pct"/>
            <w:noWrap/>
            <w:tcMar>
              <w:top w:w="0" w:type="dxa"/>
              <w:left w:w="108" w:type="dxa"/>
              <w:bottom w:w="0" w:type="dxa"/>
              <w:right w:w="108" w:type="dxa"/>
            </w:tcMar>
          </w:tcPr>
          <w:p w14:paraId="1E5D673D" w14:textId="77777777" w:rsidR="004C2B8D" w:rsidRPr="004C2B8D" w:rsidRDefault="004C2B8D" w:rsidP="009E550A">
            <w:pPr>
              <w:spacing w:before="120" w:after="120"/>
              <w:rPr>
                <w:rFonts w:ascii="Arial" w:eastAsia="Times New Roman" w:hAnsi="Arial" w:cs="Arial"/>
                <w:lang w:eastAsia="en-GB"/>
              </w:rPr>
            </w:pPr>
            <w:r w:rsidRPr="004C2B8D">
              <w:rPr>
                <w:rFonts w:ascii="Arial" w:eastAsia="Times New Roman" w:hAnsi="Arial" w:cs="Arial"/>
                <w:lang w:eastAsia="en-GB"/>
              </w:rPr>
              <w:t>Key requirements are:   </w:t>
            </w:r>
          </w:p>
          <w:p w14:paraId="004E4A0F" w14:textId="071A688C" w:rsidR="004C2B8D" w:rsidRPr="004C2B8D" w:rsidRDefault="004C2B8D" w:rsidP="009E550A">
            <w:pPr>
              <w:numPr>
                <w:ilvl w:val="0"/>
                <w:numId w:val="14"/>
              </w:numPr>
              <w:spacing w:before="120" w:after="120"/>
              <w:rPr>
                <w:rFonts w:ascii="Arial" w:eastAsia="Times New Roman" w:hAnsi="Arial" w:cs="Arial"/>
                <w:lang w:eastAsia="en-GB"/>
              </w:rPr>
            </w:pPr>
            <w:r w:rsidRPr="2A4C09A8">
              <w:rPr>
                <w:rFonts w:ascii="Arial" w:eastAsia="Times New Roman" w:hAnsi="Arial" w:cs="Arial"/>
                <w:lang w:eastAsia="en-GB"/>
              </w:rPr>
              <w:t xml:space="preserve">An SFRA has been carried out using </w:t>
            </w:r>
            <w:hyperlink r:id="rId19" w:history="1">
              <w:r w:rsidR="66091E08" w:rsidRPr="2A4C09A8">
                <w:rPr>
                  <w:rStyle w:val="Hyperlink"/>
                  <w:rFonts w:ascii="Arial" w:eastAsia="Times New Roman" w:hAnsi="Arial" w:cs="Arial"/>
                  <w:lang w:eastAsia="en-GB"/>
                </w:rPr>
                <w:t>our SFRA Guidance</w:t>
              </w:r>
            </w:hyperlink>
            <w:r w:rsidRPr="2A4C09A8">
              <w:rPr>
                <w:rFonts w:ascii="Arial" w:eastAsia="Times New Roman" w:hAnsi="Arial" w:cs="Arial"/>
                <w:u w:val="single"/>
                <w:lang w:eastAsia="en-GB"/>
              </w:rPr>
              <w:t>.</w:t>
            </w:r>
            <w:r w:rsidRPr="2A4C09A8">
              <w:rPr>
                <w:rFonts w:ascii="Arial" w:eastAsia="Times New Roman" w:hAnsi="Arial" w:cs="Arial"/>
                <w:lang w:eastAsia="en-GB"/>
              </w:rPr>
              <w:t>  </w:t>
            </w:r>
          </w:p>
          <w:p w14:paraId="49D634D2" w14:textId="27DDE284" w:rsidR="004C2B8D" w:rsidRPr="004C2B8D" w:rsidRDefault="004C2B8D" w:rsidP="009E550A">
            <w:pPr>
              <w:numPr>
                <w:ilvl w:val="0"/>
                <w:numId w:val="15"/>
              </w:numPr>
              <w:spacing w:before="120" w:after="120"/>
              <w:rPr>
                <w:rFonts w:ascii="Arial" w:eastAsia="Times New Roman" w:hAnsi="Arial" w:cs="Arial"/>
                <w:lang w:eastAsia="en-GB"/>
              </w:rPr>
            </w:pPr>
            <w:r w:rsidRPr="004C2B8D">
              <w:rPr>
                <w:rFonts w:ascii="Arial" w:eastAsia="Times New Roman" w:hAnsi="Arial" w:cs="Arial"/>
                <w:lang w:eastAsia="en-GB"/>
              </w:rPr>
              <w:t>It includes the most relevant and up to date sources of flood risk information as outlined in Appendix 1 of the guidance, importantly including the Future Flood maps.</w:t>
            </w:r>
            <w:r w:rsidRPr="2A4C09A8">
              <w:rPr>
                <w:rFonts w:ascii="Arial" w:eastAsia="Times New Roman" w:hAnsi="Arial" w:cs="Arial"/>
                <w:lang w:eastAsia="en-GB"/>
              </w:rPr>
              <w:t> </w:t>
            </w:r>
            <w:r w:rsidR="000841DE" w:rsidRPr="2A4C09A8">
              <w:rPr>
                <w:rFonts w:ascii="Arial" w:hAnsi="Arial" w:cs="Arial"/>
              </w:rPr>
              <w:t xml:space="preserve"> All information that can be presented in mapped form should </w:t>
            </w:r>
            <w:r w:rsidR="000841DE" w:rsidRPr="2A4C09A8">
              <w:rPr>
                <w:rFonts w:ascii="Arial" w:hAnsi="Arial" w:cs="Arial"/>
              </w:rPr>
              <w:lastRenderedPageBreak/>
              <w:t>be, as outlined in Appendix 1</w:t>
            </w:r>
            <w:r w:rsidR="26022A3B" w:rsidRPr="2A4C09A8">
              <w:rPr>
                <w:rFonts w:ascii="Arial" w:hAnsi="Arial" w:cs="Arial"/>
              </w:rPr>
              <w:t xml:space="preserve"> of </w:t>
            </w:r>
            <w:hyperlink r:id="rId20" w:history="1">
              <w:r w:rsidR="1E639C5C" w:rsidRPr="2A4C09A8">
                <w:rPr>
                  <w:rStyle w:val="Hyperlink"/>
                  <w:rFonts w:ascii="Arial" w:eastAsia="Times New Roman" w:hAnsi="Arial" w:cs="Arial"/>
                  <w:lang w:eastAsia="en-GB"/>
                </w:rPr>
                <w:t>our SFRA Guidance</w:t>
              </w:r>
            </w:hyperlink>
            <w:r w:rsidR="1E639C5C" w:rsidRPr="2A4C09A8">
              <w:rPr>
                <w:rFonts w:ascii="Arial" w:eastAsia="Times New Roman" w:hAnsi="Arial" w:cs="Arial"/>
                <w:u w:val="single"/>
                <w:lang w:eastAsia="en-GB"/>
              </w:rPr>
              <w:t>.</w:t>
            </w:r>
            <w:r w:rsidR="1E639C5C" w:rsidRPr="2A4C09A8">
              <w:rPr>
                <w:rFonts w:ascii="Arial" w:eastAsia="Times New Roman" w:hAnsi="Arial" w:cs="Arial"/>
                <w:lang w:eastAsia="en-GB"/>
              </w:rPr>
              <w:t>  </w:t>
            </w:r>
          </w:p>
          <w:p w14:paraId="66512908" w14:textId="3FCAD317" w:rsidR="004C2B8D" w:rsidRPr="004C2B8D" w:rsidRDefault="004C2B8D" w:rsidP="009E550A">
            <w:pPr>
              <w:spacing w:before="120" w:after="120"/>
              <w:ind w:left="720"/>
              <w:rPr>
                <w:rFonts w:ascii="Arial" w:hAnsi="Arial" w:cs="Arial"/>
                <w:lang w:eastAsia="en-GB"/>
              </w:rPr>
            </w:pPr>
          </w:p>
          <w:p w14:paraId="529FF33E" w14:textId="77777777" w:rsidR="004C2B8D" w:rsidRPr="004C2B8D" w:rsidRDefault="004C2B8D" w:rsidP="009E550A">
            <w:pPr>
              <w:spacing w:before="120" w:after="120"/>
              <w:rPr>
                <w:rFonts w:ascii="Arial" w:eastAsia="Times New Roman" w:hAnsi="Arial" w:cs="Arial"/>
                <w:lang w:eastAsia="en-GB"/>
              </w:rPr>
            </w:pPr>
            <w:r w:rsidRPr="004C2B8D">
              <w:rPr>
                <w:rFonts w:ascii="Arial" w:eastAsia="Times New Roman" w:hAnsi="Arial" w:cs="Arial"/>
                <w:lang w:eastAsia="en-GB"/>
              </w:rPr>
              <w:t>Ideally the mapped information should be presented in a dynamic GIS web map that is accessible to the public, as opposed to a static map. Our guidance recommends the former, which has the benefit of being updatable, and is less cumbersome to present to the public and other stakeholders. This would not however be a matter of dispute.   </w:t>
            </w:r>
          </w:p>
          <w:p w14:paraId="360C90CF" w14:textId="0D2708F4" w:rsidR="00326AE8" w:rsidRPr="00AE1DFE" w:rsidRDefault="00326AE8" w:rsidP="009E550A">
            <w:pPr>
              <w:spacing w:before="120" w:after="120"/>
              <w:rPr>
                <w:rFonts w:ascii="Arial" w:eastAsia="Times New Roman" w:hAnsi="Arial" w:cs="Arial"/>
                <w:lang w:eastAsia="en-GB"/>
              </w:rPr>
            </w:pPr>
          </w:p>
        </w:tc>
        <w:tc>
          <w:tcPr>
            <w:tcW w:w="2243" w:type="pct"/>
            <w:noWrap/>
            <w:tcMar>
              <w:top w:w="0" w:type="dxa"/>
              <w:left w:w="108" w:type="dxa"/>
              <w:bottom w:w="0" w:type="dxa"/>
              <w:right w:w="108" w:type="dxa"/>
            </w:tcMar>
          </w:tcPr>
          <w:p w14:paraId="64E4879C" w14:textId="77777777" w:rsidR="004C2B8D" w:rsidRPr="004C2B8D" w:rsidRDefault="004C2B8D" w:rsidP="009E550A">
            <w:pPr>
              <w:spacing w:before="120" w:after="120"/>
              <w:rPr>
                <w:rFonts w:ascii="Arial" w:eastAsia="Times New Roman" w:hAnsi="Arial" w:cs="Arial"/>
                <w:lang w:eastAsia="en-GB"/>
              </w:rPr>
            </w:pPr>
            <w:r w:rsidRPr="004C2B8D">
              <w:rPr>
                <w:rFonts w:ascii="Arial" w:eastAsia="Times New Roman" w:hAnsi="Arial" w:cs="Arial"/>
                <w:lang w:eastAsia="en-GB"/>
              </w:rPr>
              <w:lastRenderedPageBreak/>
              <w:t>Key requirements are:  </w:t>
            </w:r>
          </w:p>
          <w:p w14:paraId="2E336428" w14:textId="559926DE" w:rsidR="004C2B8D" w:rsidRPr="004C2B8D" w:rsidRDefault="41F2C78A" w:rsidP="009E550A">
            <w:pPr>
              <w:numPr>
                <w:ilvl w:val="0"/>
                <w:numId w:val="16"/>
              </w:numPr>
              <w:spacing w:before="120" w:after="120"/>
              <w:ind w:left="360"/>
              <w:rPr>
                <w:rFonts w:ascii="Arial" w:eastAsia="Times New Roman" w:hAnsi="Arial" w:cs="Arial"/>
                <w:lang w:eastAsia="en-GB"/>
              </w:rPr>
            </w:pPr>
            <w:r w:rsidRPr="6CF073F1">
              <w:rPr>
                <w:rFonts w:ascii="Arial" w:eastAsia="Times New Roman" w:hAnsi="Arial" w:cs="Arial"/>
                <w:lang w:eastAsia="en-GB"/>
              </w:rPr>
              <w:t>You</w:t>
            </w:r>
            <w:r w:rsidR="004C2B8D" w:rsidRPr="004C2B8D">
              <w:rPr>
                <w:rFonts w:ascii="Arial" w:eastAsia="Times New Roman" w:hAnsi="Arial" w:cs="Arial"/>
                <w:lang w:eastAsia="en-GB"/>
              </w:rPr>
              <w:t xml:space="preserve"> have referred to baseline evidence on the status and pressures on the water environment from RBMP3 data. </w:t>
            </w:r>
          </w:p>
          <w:p w14:paraId="04962F5F" w14:textId="3F07DB78" w:rsidR="004C2B8D" w:rsidRPr="004C2B8D" w:rsidRDefault="43EBC53B" w:rsidP="009E550A">
            <w:pPr>
              <w:numPr>
                <w:ilvl w:val="0"/>
                <w:numId w:val="17"/>
              </w:numPr>
              <w:spacing w:before="120" w:after="120"/>
              <w:ind w:left="360"/>
              <w:rPr>
                <w:rFonts w:ascii="Arial" w:eastAsia="Times New Roman" w:hAnsi="Arial" w:cs="Arial"/>
                <w:lang w:eastAsia="en-GB"/>
              </w:rPr>
            </w:pPr>
            <w:r w:rsidRPr="6CF073F1">
              <w:rPr>
                <w:rFonts w:ascii="Arial" w:eastAsia="Times New Roman" w:hAnsi="Arial" w:cs="Arial"/>
                <w:lang w:eastAsia="en-GB"/>
              </w:rPr>
              <w:t>You</w:t>
            </w:r>
            <w:r w:rsidR="004C2B8D" w:rsidRPr="004C2B8D">
              <w:rPr>
                <w:rFonts w:ascii="Arial" w:eastAsia="Times New Roman" w:hAnsi="Arial" w:cs="Arial"/>
                <w:lang w:eastAsia="en-GB"/>
              </w:rPr>
              <w:t xml:space="preserve"> have used </w:t>
            </w:r>
            <w:r w:rsidR="004B2CB7">
              <w:rPr>
                <w:rFonts w:ascii="Arial" w:eastAsia="Times New Roman" w:hAnsi="Arial" w:cs="Arial"/>
                <w:lang w:eastAsia="en-GB"/>
              </w:rPr>
              <w:t xml:space="preserve">relevant </w:t>
            </w:r>
            <w:r w:rsidR="004C2B8D" w:rsidRPr="004C2B8D">
              <w:rPr>
                <w:rFonts w:ascii="Arial" w:eastAsia="Times New Roman" w:hAnsi="Arial" w:cs="Arial"/>
                <w:lang w:eastAsia="en-GB"/>
              </w:rPr>
              <w:t>water environment evidence to establish and identify opportunities to enhance nature networks and blue and green infrastructure.  The following evidence sources should be used where relevant to the LDP area: </w:t>
            </w:r>
          </w:p>
          <w:p w14:paraId="10A40504" w14:textId="77777777" w:rsidR="004C2B8D" w:rsidRPr="004C2B8D" w:rsidRDefault="004C2B8D" w:rsidP="009E550A">
            <w:pPr>
              <w:numPr>
                <w:ilvl w:val="0"/>
                <w:numId w:val="18"/>
              </w:numPr>
              <w:spacing w:before="120" w:after="120"/>
              <w:rPr>
                <w:rFonts w:ascii="Arial" w:eastAsia="Times New Roman" w:hAnsi="Arial" w:cs="Arial"/>
                <w:lang w:eastAsia="en-GB"/>
              </w:rPr>
            </w:pPr>
            <w:r w:rsidRPr="004C2B8D">
              <w:rPr>
                <w:rFonts w:ascii="Arial" w:eastAsia="Times New Roman" w:hAnsi="Arial" w:cs="Arial"/>
                <w:lang w:eastAsia="en-GB"/>
              </w:rPr>
              <w:lastRenderedPageBreak/>
              <w:t>Recommended riparian corridor layer </w:t>
            </w:r>
          </w:p>
          <w:p w14:paraId="7F611216" w14:textId="77777777" w:rsidR="004C2B8D" w:rsidRPr="004C2B8D" w:rsidRDefault="004C2B8D" w:rsidP="009E550A">
            <w:pPr>
              <w:numPr>
                <w:ilvl w:val="0"/>
                <w:numId w:val="19"/>
              </w:numPr>
              <w:spacing w:before="120" w:after="120"/>
              <w:rPr>
                <w:rFonts w:ascii="Arial" w:eastAsia="Times New Roman" w:hAnsi="Arial" w:cs="Arial"/>
                <w:lang w:eastAsia="en-GB"/>
              </w:rPr>
            </w:pPr>
            <w:r w:rsidRPr="004C2B8D">
              <w:rPr>
                <w:rFonts w:ascii="Arial" w:eastAsia="Times New Roman" w:hAnsi="Arial" w:cs="Arial"/>
                <w:lang w:eastAsia="en-GB"/>
              </w:rPr>
              <w:t>Geomorphic risk layer </w:t>
            </w:r>
          </w:p>
          <w:p w14:paraId="49FFD991" w14:textId="77777777" w:rsidR="004C2B8D" w:rsidRPr="004C2B8D" w:rsidRDefault="004C2B8D" w:rsidP="009E550A">
            <w:pPr>
              <w:numPr>
                <w:ilvl w:val="0"/>
                <w:numId w:val="20"/>
              </w:numPr>
              <w:spacing w:before="120" w:after="120"/>
              <w:rPr>
                <w:rFonts w:ascii="Arial" w:eastAsia="Times New Roman" w:hAnsi="Arial" w:cs="Arial"/>
                <w:lang w:eastAsia="en-GB"/>
              </w:rPr>
            </w:pPr>
            <w:r w:rsidRPr="004C2B8D">
              <w:rPr>
                <w:rFonts w:ascii="Arial" w:eastAsia="Times New Roman" w:hAnsi="Arial" w:cs="Arial"/>
                <w:lang w:eastAsia="en-GB"/>
              </w:rPr>
              <w:t>Riparian vegetation enhancement opportunities </w:t>
            </w:r>
          </w:p>
          <w:p w14:paraId="774A6803" w14:textId="77777777" w:rsidR="004C2B8D" w:rsidRPr="004C2B8D" w:rsidRDefault="004C2B8D" w:rsidP="009E550A">
            <w:pPr>
              <w:numPr>
                <w:ilvl w:val="0"/>
                <w:numId w:val="21"/>
              </w:numPr>
              <w:spacing w:before="120" w:after="120"/>
              <w:rPr>
                <w:rFonts w:ascii="Arial" w:eastAsia="Times New Roman" w:hAnsi="Arial" w:cs="Arial"/>
                <w:lang w:eastAsia="en-GB"/>
              </w:rPr>
            </w:pPr>
            <w:r w:rsidRPr="004C2B8D">
              <w:rPr>
                <w:rFonts w:ascii="Arial" w:eastAsia="Times New Roman" w:hAnsi="Arial" w:cs="Arial"/>
                <w:lang w:eastAsia="en-GB"/>
              </w:rPr>
              <w:t>Scottish Wetland Inventory layer </w:t>
            </w:r>
          </w:p>
          <w:p w14:paraId="7C854135" w14:textId="77777777" w:rsidR="004C2B8D" w:rsidRPr="004C2B8D" w:rsidRDefault="004C2B8D" w:rsidP="009E550A">
            <w:pPr>
              <w:numPr>
                <w:ilvl w:val="0"/>
                <w:numId w:val="22"/>
              </w:numPr>
              <w:spacing w:before="120" w:after="120"/>
              <w:rPr>
                <w:rFonts w:ascii="Arial" w:eastAsia="Times New Roman" w:hAnsi="Arial" w:cs="Arial"/>
                <w:lang w:eastAsia="en-GB"/>
              </w:rPr>
            </w:pPr>
            <w:r w:rsidRPr="004C2B8D">
              <w:rPr>
                <w:rFonts w:ascii="Arial" w:eastAsia="Times New Roman" w:hAnsi="Arial" w:cs="Arial"/>
                <w:lang w:eastAsia="en-GB"/>
              </w:rPr>
              <w:t>Obstacles to fish migration </w:t>
            </w:r>
          </w:p>
          <w:p w14:paraId="1F2393DA" w14:textId="77777777" w:rsidR="004C2B8D" w:rsidRPr="004C2B8D" w:rsidRDefault="004C2B8D" w:rsidP="009E550A">
            <w:pPr>
              <w:numPr>
                <w:ilvl w:val="0"/>
                <w:numId w:val="23"/>
              </w:numPr>
              <w:spacing w:before="120" w:after="120"/>
              <w:rPr>
                <w:rFonts w:ascii="Arial" w:eastAsia="Times New Roman" w:hAnsi="Arial" w:cs="Arial"/>
                <w:lang w:eastAsia="en-GB"/>
              </w:rPr>
            </w:pPr>
            <w:r w:rsidRPr="004C2B8D">
              <w:rPr>
                <w:rFonts w:ascii="Arial" w:eastAsia="Times New Roman" w:hAnsi="Arial" w:cs="Arial"/>
                <w:lang w:eastAsia="en-GB"/>
              </w:rPr>
              <w:t>Water Environment Fund projects – existing and proposed  </w:t>
            </w:r>
          </w:p>
          <w:p w14:paraId="32EBE6F1" w14:textId="77777777" w:rsidR="004C2B8D" w:rsidRPr="004C2B8D" w:rsidRDefault="004C2B8D" w:rsidP="009E550A">
            <w:pPr>
              <w:numPr>
                <w:ilvl w:val="0"/>
                <w:numId w:val="24"/>
              </w:numPr>
              <w:spacing w:before="120" w:after="120"/>
              <w:rPr>
                <w:rFonts w:ascii="Arial" w:eastAsia="Times New Roman" w:hAnsi="Arial" w:cs="Arial"/>
                <w:lang w:eastAsia="en-GB"/>
              </w:rPr>
            </w:pPr>
            <w:r w:rsidRPr="004C2B8D">
              <w:rPr>
                <w:rFonts w:ascii="Arial" w:eastAsia="Times New Roman" w:hAnsi="Arial" w:cs="Arial"/>
                <w:lang w:eastAsia="en-GB"/>
              </w:rPr>
              <w:t>Natural flood management maps </w:t>
            </w:r>
          </w:p>
          <w:p w14:paraId="1F076FBD" w14:textId="77777777" w:rsidR="004C2B8D" w:rsidRPr="004C2B8D" w:rsidRDefault="004C2B8D" w:rsidP="009E550A">
            <w:pPr>
              <w:numPr>
                <w:ilvl w:val="0"/>
                <w:numId w:val="25"/>
              </w:numPr>
              <w:spacing w:before="120" w:after="120"/>
              <w:rPr>
                <w:rFonts w:ascii="Arial" w:eastAsia="Times New Roman" w:hAnsi="Arial" w:cs="Arial"/>
                <w:lang w:eastAsia="en-GB"/>
              </w:rPr>
            </w:pPr>
            <w:r w:rsidRPr="004C2B8D">
              <w:rPr>
                <w:rFonts w:ascii="Arial" w:eastAsia="Times New Roman" w:hAnsi="Arial" w:cs="Arial"/>
                <w:lang w:eastAsia="en-GB"/>
              </w:rPr>
              <w:t>Outputs of the SFRA </w:t>
            </w:r>
          </w:p>
          <w:p w14:paraId="1B1C1411" w14:textId="4E2A6E05" w:rsidR="00326AE8" w:rsidRPr="003D3B31" w:rsidRDefault="004C2B8D" w:rsidP="009E550A">
            <w:pPr>
              <w:pStyle w:val="ListParagraph"/>
              <w:numPr>
                <w:ilvl w:val="0"/>
                <w:numId w:val="27"/>
              </w:numPr>
              <w:tabs>
                <w:tab w:val="clear" w:pos="720"/>
                <w:tab w:val="num" w:pos="316"/>
              </w:tabs>
              <w:spacing w:before="120" w:after="120"/>
              <w:ind w:left="316" w:hanging="284"/>
              <w:rPr>
                <w:rFonts w:ascii="Arial" w:eastAsia="Times New Roman" w:hAnsi="Arial" w:cs="Arial"/>
                <w:lang w:eastAsia="en-GB"/>
              </w:rPr>
            </w:pPr>
            <w:r w:rsidRPr="003D3B31">
              <w:rPr>
                <w:rFonts w:ascii="Arial" w:eastAsia="Times New Roman" w:hAnsi="Arial" w:cs="Arial"/>
                <w:lang w:eastAsia="en-GB"/>
              </w:rPr>
              <w:t xml:space="preserve">If not already done so </w:t>
            </w:r>
            <w:r w:rsidR="00795A36" w:rsidRPr="003D3B31">
              <w:rPr>
                <w:rFonts w:ascii="Arial" w:eastAsia="Times New Roman" w:hAnsi="Arial" w:cs="Arial"/>
                <w:lang w:eastAsia="en-GB"/>
              </w:rPr>
              <w:t>we also expect</w:t>
            </w:r>
            <w:r w:rsidRPr="003D3B31">
              <w:rPr>
                <w:rFonts w:ascii="Arial" w:eastAsia="Times New Roman" w:hAnsi="Arial" w:cs="Arial"/>
                <w:lang w:eastAsia="en-GB"/>
              </w:rPr>
              <w:t xml:space="preserve"> a commitment to including the above evidence (where relevant) in the mapping of nature networks and blue and green infrastructure  </w:t>
            </w:r>
          </w:p>
        </w:tc>
      </w:tr>
      <w:tr w:rsidR="00326AE8" w:rsidRPr="00AE1DFE" w14:paraId="538F23BC" w14:textId="77777777" w:rsidTr="00691781">
        <w:trPr>
          <w:trHeight w:val="300"/>
        </w:trPr>
        <w:tc>
          <w:tcPr>
            <w:tcW w:w="744" w:type="pct"/>
            <w:noWrap/>
            <w:tcMar>
              <w:top w:w="0" w:type="dxa"/>
              <w:left w:w="108" w:type="dxa"/>
              <w:bottom w:w="0" w:type="dxa"/>
              <w:right w:w="108" w:type="dxa"/>
            </w:tcMar>
          </w:tcPr>
          <w:p w14:paraId="1397F2B3" w14:textId="097B3277" w:rsidR="00326AE8" w:rsidRPr="00AE1DFE" w:rsidRDefault="00E731D3" w:rsidP="009E550A">
            <w:pPr>
              <w:spacing w:before="120" w:after="120"/>
              <w:rPr>
                <w:rFonts w:ascii="Arial" w:eastAsia="Times New Roman" w:hAnsi="Arial" w:cs="Arial"/>
                <w:lang w:eastAsia="en-GB"/>
              </w:rPr>
            </w:pPr>
            <w:r w:rsidRPr="00E731D3">
              <w:rPr>
                <w:rFonts w:ascii="Arial" w:eastAsia="Times New Roman" w:hAnsi="Arial" w:cs="Arial"/>
                <w:b/>
                <w:bCs/>
                <w:lang w:eastAsia="en-GB"/>
              </w:rPr>
              <w:lastRenderedPageBreak/>
              <w:t>Where can the evidence be found?</w:t>
            </w:r>
          </w:p>
        </w:tc>
        <w:tc>
          <w:tcPr>
            <w:tcW w:w="2012" w:type="pct"/>
            <w:noWrap/>
            <w:tcMar>
              <w:top w:w="0" w:type="dxa"/>
              <w:left w:w="108" w:type="dxa"/>
              <w:bottom w:w="0" w:type="dxa"/>
              <w:right w:w="108" w:type="dxa"/>
            </w:tcMar>
          </w:tcPr>
          <w:p w14:paraId="474688C8" w14:textId="6F6B08BE" w:rsidR="00326AE8" w:rsidRPr="00AE1DFE" w:rsidRDefault="004C2B8D" w:rsidP="009E550A">
            <w:pPr>
              <w:spacing w:before="120" w:after="120"/>
              <w:rPr>
                <w:rFonts w:ascii="Arial" w:eastAsia="Times New Roman" w:hAnsi="Arial" w:cs="Arial"/>
                <w:lang w:eastAsia="en-GB"/>
              </w:rPr>
            </w:pPr>
            <w:r w:rsidRPr="004C2B8D">
              <w:rPr>
                <w:rFonts w:ascii="Arial" w:eastAsia="Times New Roman" w:hAnsi="Arial" w:cs="Arial"/>
                <w:lang w:eastAsia="en-GB"/>
              </w:rPr>
              <w:t xml:space="preserve">Reference to all evidence and associated links are outlined in Appendix One of </w:t>
            </w:r>
            <w:hyperlink r:id="rId21" w:tgtFrame="_blank" w:history="1">
              <w:r w:rsidR="00A91386">
                <w:rPr>
                  <w:rStyle w:val="Hyperlink"/>
                  <w:rFonts w:ascii="Arial" w:eastAsia="Times New Roman" w:hAnsi="Arial" w:cs="Arial"/>
                  <w:lang w:eastAsia="en-GB"/>
                </w:rPr>
                <w:t>our SFRA guidance</w:t>
              </w:r>
            </w:hyperlink>
            <w:r w:rsidR="00E731D3">
              <w:rPr>
                <w:rFonts w:ascii="Arial" w:eastAsia="Times New Roman" w:hAnsi="Arial" w:cs="Arial"/>
                <w:lang w:eastAsia="en-GB"/>
              </w:rPr>
              <w:t>.</w:t>
            </w:r>
            <w:r w:rsidRPr="004C2B8D">
              <w:rPr>
                <w:rFonts w:ascii="Arial" w:eastAsia="Times New Roman" w:hAnsi="Arial" w:cs="Arial"/>
                <w:lang w:eastAsia="en-GB"/>
              </w:rPr>
              <w:t> </w:t>
            </w:r>
          </w:p>
        </w:tc>
        <w:tc>
          <w:tcPr>
            <w:tcW w:w="2243" w:type="pct"/>
            <w:noWrap/>
            <w:tcMar>
              <w:top w:w="0" w:type="dxa"/>
              <w:left w:w="108" w:type="dxa"/>
              <w:bottom w:w="0" w:type="dxa"/>
              <w:right w:w="108" w:type="dxa"/>
            </w:tcMar>
          </w:tcPr>
          <w:p w14:paraId="03FD7C24" w14:textId="77777777" w:rsidR="004C2B8D" w:rsidRPr="004C2B8D" w:rsidRDefault="004C2B8D" w:rsidP="009E550A">
            <w:pPr>
              <w:spacing w:before="120" w:after="120"/>
              <w:rPr>
                <w:rFonts w:ascii="Arial" w:eastAsia="Times New Roman" w:hAnsi="Arial" w:cs="Arial"/>
                <w:lang w:eastAsia="en-GB"/>
              </w:rPr>
            </w:pPr>
            <w:r w:rsidRPr="004C2B8D">
              <w:rPr>
                <w:rFonts w:ascii="Arial" w:eastAsia="Times New Roman" w:hAnsi="Arial" w:cs="Arial"/>
                <w:lang w:eastAsia="en-GB"/>
              </w:rPr>
              <w:t xml:space="preserve">Classification status evidence: </w:t>
            </w:r>
            <w:hyperlink r:id="rId22" w:tgtFrame="_blank" w:history="1">
              <w:r w:rsidRPr="004C2B8D">
                <w:rPr>
                  <w:rStyle w:val="Hyperlink"/>
                  <w:rFonts w:ascii="Arial" w:eastAsia="Times New Roman" w:hAnsi="Arial" w:cs="Arial"/>
                  <w:lang w:eastAsia="en-GB"/>
                </w:rPr>
                <w:t>Water Classification Hub (sepa.org.uk)</w:t>
              </w:r>
            </w:hyperlink>
            <w:r w:rsidRPr="004C2B8D">
              <w:rPr>
                <w:rFonts w:ascii="Arial" w:eastAsia="Times New Roman" w:hAnsi="Arial" w:cs="Arial"/>
                <w:lang w:eastAsia="en-GB"/>
              </w:rPr>
              <w:t> </w:t>
            </w:r>
          </w:p>
          <w:p w14:paraId="2E9014D2" w14:textId="77777777" w:rsidR="004C2B8D" w:rsidRPr="004C2B8D" w:rsidRDefault="004C2B8D" w:rsidP="009E550A">
            <w:pPr>
              <w:spacing w:before="120" w:after="120"/>
              <w:rPr>
                <w:rFonts w:ascii="Arial" w:eastAsia="Times New Roman" w:hAnsi="Arial" w:cs="Arial"/>
                <w:lang w:eastAsia="en-GB"/>
              </w:rPr>
            </w:pPr>
            <w:r w:rsidRPr="004C2B8D">
              <w:rPr>
                <w:rFonts w:ascii="Arial" w:eastAsia="Times New Roman" w:hAnsi="Arial" w:cs="Arial"/>
                <w:lang w:eastAsia="en-GB"/>
              </w:rPr>
              <w:t xml:space="preserve">Pressures evidence: </w:t>
            </w:r>
            <w:hyperlink r:id="rId23" w:tgtFrame="_blank" w:history="1">
              <w:r w:rsidRPr="004C2B8D">
                <w:rPr>
                  <w:rStyle w:val="Hyperlink"/>
                  <w:rFonts w:ascii="Arial" w:eastAsia="Times New Roman" w:hAnsi="Arial" w:cs="Arial"/>
                  <w:lang w:eastAsia="en-GB"/>
                </w:rPr>
                <w:t>RBMP3 (sepa.org.uk)</w:t>
              </w:r>
            </w:hyperlink>
            <w:r w:rsidRPr="004C2B8D">
              <w:rPr>
                <w:rFonts w:ascii="Arial" w:eastAsia="Times New Roman" w:hAnsi="Arial" w:cs="Arial"/>
                <w:lang w:eastAsia="en-GB"/>
              </w:rPr>
              <w:t> </w:t>
            </w:r>
          </w:p>
          <w:p w14:paraId="3EAB920B" w14:textId="40D86C5A" w:rsidR="73A0F206" w:rsidRDefault="73A0F206" w:rsidP="009E550A">
            <w:pPr>
              <w:spacing w:before="120" w:after="120"/>
              <w:rPr>
                <w:rFonts w:ascii="Arial" w:eastAsia="Times New Roman" w:hAnsi="Arial" w:cs="Arial"/>
                <w:lang w:eastAsia="en-GB"/>
              </w:rPr>
            </w:pPr>
            <w:r w:rsidRPr="0394FE30">
              <w:rPr>
                <w:rFonts w:ascii="Arial" w:eastAsia="Times New Roman" w:hAnsi="Arial" w:cs="Arial"/>
                <w:lang w:eastAsia="en-GB"/>
              </w:rPr>
              <w:t xml:space="preserve">Other </w:t>
            </w:r>
            <w:r w:rsidR="1EB8E07B" w:rsidRPr="0394FE30">
              <w:rPr>
                <w:rFonts w:ascii="Arial" w:eastAsia="Times New Roman" w:hAnsi="Arial" w:cs="Arial"/>
                <w:lang w:eastAsia="en-GB"/>
              </w:rPr>
              <w:t xml:space="preserve">water environment </w:t>
            </w:r>
            <w:r w:rsidRPr="0394FE30">
              <w:rPr>
                <w:rFonts w:ascii="Arial" w:eastAsia="Times New Roman" w:hAnsi="Arial" w:cs="Arial"/>
                <w:lang w:eastAsia="en-GB"/>
              </w:rPr>
              <w:t xml:space="preserve">evidence: </w:t>
            </w:r>
            <w:hyperlink r:id="rId24">
              <w:r w:rsidRPr="0394FE30">
                <w:rPr>
                  <w:rStyle w:val="Hyperlink"/>
                  <w:rFonts w:ascii="Arial" w:eastAsia="Times New Roman" w:hAnsi="Arial" w:cs="Arial"/>
                  <w:lang w:eastAsia="en-GB"/>
                </w:rPr>
                <w:t>Environmental data | Scottish Environment Protection Agency (SEPA)</w:t>
              </w:r>
            </w:hyperlink>
            <w:r w:rsidRPr="0394FE30">
              <w:rPr>
                <w:rFonts w:ascii="Arial" w:eastAsia="Times New Roman" w:hAnsi="Arial" w:cs="Arial"/>
                <w:lang w:eastAsia="en-GB"/>
              </w:rPr>
              <w:t> </w:t>
            </w:r>
            <w:r w:rsidR="5D3C4D2F" w:rsidRPr="0394FE30">
              <w:rPr>
                <w:rFonts w:ascii="Arial" w:eastAsia="Times New Roman" w:hAnsi="Arial" w:cs="Arial"/>
                <w:lang w:eastAsia="en-GB"/>
              </w:rPr>
              <w:t xml:space="preserve"> Please note that you need to scroll down this list to find </w:t>
            </w:r>
            <w:r w:rsidR="7421DFB1" w:rsidRPr="0394FE30">
              <w:rPr>
                <w:rFonts w:ascii="Arial" w:eastAsia="Times New Roman" w:hAnsi="Arial" w:cs="Arial"/>
                <w:lang w:eastAsia="en-GB"/>
              </w:rPr>
              <w:t xml:space="preserve">links to </w:t>
            </w:r>
            <w:r w:rsidR="501CDAE7" w:rsidRPr="0394FE30">
              <w:rPr>
                <w:rFonts w:ascii="Arial" w:eastAsia="Times New Roman" w:hAnsi="Arial" w:cs="Arial"/>
                <w:lang w:eastAsia="en-GB"/>
              </w:rPr>
              <w:t xml:space="preserve">all the water evidence sources listed </w:t>
            </w:r>
            <w:r w:rsidR="14F0D9CD" w:rsidRPr="0394FE30">
              <w:rPr>
                <w:rFonts w:ascii="Arial" w:eastAsia="Times New Roman" w:hAnsi="Arial" w:cs="Arial"/>
                <w:lang w:eastAsia="en-GB"/>
              </w:rPr>
              <w:t>above</w:t>
            </w:r>
            <w:r w:rsidR="501CDAE7" w:rsidRPr="0394FE30">
              <w:rPr>
                <w:rFonts w:ascii="Arial" w:eastAsia="Times New Roman" w:hAnsi="Arial" w:cs="Arial"/>
                <w:lang w:eastAsia="en-GB"/>
              </w:rPr>
              <w:t xml:space="preserve">. </w:t>
            </w:r>
          </w:p>
          <w:p w14:paraId="662D3953" w14:textId="77777777" w:rsidR="004C2B8D" w:rsidRPr="004C2B8D" w:rsidRDefault="004C2B8D" w:rsidP="009E550A">
            <w:pPr>
              <w:spacing w:before="120" w:after="120"/>
              <w:rPr>
                <w:rFonts w:ascii="Arial" w:eastAsia="Times New Roman" w:hAnsi="Arial" w:cs="Arial"/>
                <w:lang w:eastAsia="en-GB"/>
              </w:rPr>
            </w:pPr>
            <w:r w:rsidRPr="004C2B8D">
              <w:rPr>
                <w:rFonts w:ascii="Arial" w:eastAsia="Times New Roman" w:hAnsi="Arial" w:cs="Arial"/>
                <w:lang w:eastAsia="en-GB"/>
              </w:rPr>
              <w:t xml:space="preserve">Relevant guidance: </w:t>
            </w:r>
            <w:hyperlink r:id="rId25" w:tgtFrame="_blank" w:history="1">
              <w:r w:rsidRPr="004C2B8D">
                <w:rPr>
                  <w:rStyle w:val="Hyperlink"/>
                  <w:rFonts w:ascii="Arial" w:eastAsia="Times New Roman" w:hAnsi="Arial" w:cs="Arial"/>
                  <w:lang w:eastAsia="en-GB"/>
                </w:rPr>
                <w:t>Recommended riparian corridor layer for use in land use planning</w:t>
              </w:r>
            </w:hyperlink>
            <w:r w:rsidRPr="004C2B8D">
              <w:rPr>
                <w:rFonts w:ascii="Arial" w:eastAsia="Times New Roman" w:hAnsi="Arial" w:cs="Arial"/>
                <w:lang w:eastAsia="en-GB"/>
              </w:rPr>
              <w:t> </w:t>
            </w:r>
          </w:p>
          <w:p w14:paraId="617D3AE2" w14:textId="77777777" w:rsidR="00563FFA" w:rsidRDefault="00563FFA" w:rsidP="009E550A">
            <w:pPr>
              <w:spacing w:before="120" w:after="120"/>
            </w:pPr>
            <w:r>
              <w:rPr>
                <w:rFonts w:ascii="Arial" w:eastAsia="Times New Roman" w:hAnsi="Arial" w:cs="Arial"/>
                <w:lang w:eastAsia="en-GB"/>
              </w:rPr>
              <w:t xml:space="preserve">Natural Flood Management Maps: </w:t>
            </w:r>
            <w:hyperlink r:id="rId26" w:history="1">
              <w:r w:rsidRPr="009C53F6">
                <w:rPr>
                  <w:rStyle w:val="Hyperlink"/>
                </w:rPr>
                <w:t>SEPA FRM Map Viewer</w:t>
              </w:r>
            </w:hyperlink>
          </w:p>
          <w:p w14:paraId="77FA2CA1" w14:textId="4B5C4239" w:rsidR="00326AE8" w:rsidRPr="00AE1DFE" w:rsidRDefault="00563FFA" w:rsidP="009E550A">
            <w:pPr>
              <w:spacing w:before="120" w:after="120"/>
              <w:rPr>
                <w:rFonts w:ascii="Arial" w:eastAsia="Times New Roman" w:hAnsi="Arial" w:cs="Arial"/>
                <w:lang w:eastAsia="en-GB"/>
              </w:rPr>
            </w:pPr>
            <w:r>
              <w:rPr>
                <w:rFonts w:ascii="Arial" w:eastAsia="Times New Roman" w:hAnsi="Arial" w:cs="Arial"/>
                <w:lang w:eastAsia="en-GB"/>
              </w:rPr>
              <w:t>Outputs of your SFRA</w:t>
            </w:r>
            <w:r w:rsidR="00A91386">
              <w:rPr>
                <w:rFonts w:ascii="Arial" w:eastAsia="Times New Roman" w:hAnsi="Arial" w:cs="Arial"/>
                <w:lang w:eastAsia="en-GB"/>
              </w:rPr>
              <w:t xml:space="preserve"> undertaken in line with </w:t>
            </w:r>
            <w:hyperlink r:id="rId27" w:tgtFrame="_blank" w:history="1">
              <w:r w:rsidR="00A91386">
                <w:rPr>
                  <w:rStyle w:val="Hyperlink"/>
                  <w:rFonts w:ascii="Arial" w:eastAsia="Times New Roman" w:hAnsi="Arial" w:cs="Arial"/>
                  <w:lang w:eastAsia="en-GB"/>
                </w:rPr>
                <w:t>our SFRA guidance</w:t>
              </w:r>
            </w:hyperlink>
          </w:p>
        </w:tc>
      </w:tr>
    </w:tbl>
    <w:p w14:paraId="4DEDB4E7" w14:textId="73164767" w:rsidR="00342C55" w:rsidRPr="00836BC4" w:rsidRDefault="00342C55" w:rsidP="009E550A">
      <w:pPr>
        <w:pStyle w:val="Heading2"/>
        <w:spacing w:line="360" w:lineRule="auto"/>
      </w:pPr>
    </w:p>
    <w:p w14:paraId="4546C261" w14:textId="77777777" w:rsidR="00691781" w:rsidRDefault="00691781" w:rsidP="009E550A">
      <w:pPr>
        <w:rPr>
          <w:rFonts w:eastAsiaTheme="majorEastAsia"/>
          <w:b/>
          <w:bCs/>
        </w:rPr>
      </w:pPr>
    </w:p>
    <w:p w14:paraId="293B2F78" w14:textId="77777777" w:rsidR="00691781" w:rsidRDefault="00691781" w:rsidP="009E550A">
      <w:pPr>
        <w:rPr>
          <w:rFonts w:eastAsiaTheme="majorEastAsia"/>
          <w:b/>
          <w:bCs/>
        </w:rPr>
      </w:pPr>
    </w:p>
    <w:p w14:paraId="268D9060" w14:textId="77777777" w:rsidR="00691781" w:rsidRDefault="00691781" w:rsidP="009E550A">
      <w:pPr>
        <w:rPr>
          <w:rFonts w:eastAsiaTheme="majorEastAsia"/>
          <w:b/>
          <w:bCs/>
        </w:rPr>
      </w:pPr>
    </w:p>
    <w:p w14:paraId="34829BA6" w14:textId="77777777" w:rsidR="00691781" w:rsidRDefault="00691781" w:rsidP="009E550A">
      <w:pPr>
        <w:rPr>
          <w:rFonts w:eastAsiaTheme="majorEastAsia"/>
          <w:b/>
          <w:bCs/>
        </w:rPr>
      </w:pPr>
    </w:p>
    <w:p w14:paraId="5C46CEA8" w14:textId="77777777" w:rsidR="00691781" w:rsidRDefault="00691781" w:rsidP="009E550A">
      <w:pPr>
        <w:rPr>
          <w:rFonts w:eastAsiaTheme="majorEastAsia"/>
          <w:b/>
          <w:bCs/>
        </w:rPr>
      </w:pPr>
    </w:p>
    <w:p w14:paraId="7D370155" w14:textId="304A91A4" w:rsidR="63DB9CB9" w:rsidRDefault="63DB9CB9" w:rsidP="009E550A">
      <w:pPr>
        <w:rPr>
          <w:rFonts w:eastAsia="Times New Roman"/>
          <w:sz w:val="32"/>
          <w:szCs w:val="32"/>
        </w:rPr>
      </w:pPr>
    </w:p>
    <w:p w14:paraId="57D056C0" w14:textId="04ED179D" w:rsidR="63DB9CB9" w:rsidRDefault="63DB9CB9" w:rsidP="009E550A">
      <w:pPr>
        <w:rPr>
          <w:rFonts w:eastAsia="Times New Roman"/>
          <w:sz w:val="32"/>
          <w:szCs w:val="32"/>
        </w:rPr>
      </w:pPr>
    </w:p>
    <w:p w14:paraId="2D21904C" w14:textId="173967DA" w:rsidR="63DB9CB9" w:rsidRDefault="63DB9CB9" w:rsidP="009E550A">
      <w:pPr>
        <w:rPr>
          <w:rFonts w:eastAsia="Times New Roman"/>
          <w:sz w:val="32"/>
          <w:szCs w:val="32"/>
        </w:rPr>
      </w:pPr>
    </w:p>
    <w:p w14:paraId="410899F0" w14:textId="0B961331" w:rsidR="63DB9CB9" w:rsidRDefault="63DB9CB9" w:rsidP="009E550A">
      <w:pPr>
        <w:rPr>
          <w:rFonts w:eastAsia="Times New Roman"/>
          <w:sz w:val="32"/>
          <w:szCs w:val="32"/>
        </w:rPr>
      </w:pPr>
    </w:p>
    <w:p w14:paraId="75312D05" w14:textId="185B5D94" w:rsidR="63DB9CB9" w:rsidRDefault="63DB9CB9" w:rsidP="009E550A">
      <w:pPr>
        <w:rPr>
          <w:rFonts w:eastAsia="Times New Roman"/>
          <w:sz w:val="32"/>
          <w:szCs w:val="32"/>
        </w:rPr>
      </w:pPr>
    </w:p>
    <w:p w14:paraId="47BCE714" w14:textId="33DCB923" w:rsidR="00AD321D" w:rsidRPr="00691781" w:rsidRDefault="00AD321D" w:rsidP="009E550A">
      <w:pPr>
        <w:rPr>
          <w:rFonts w:eastAsiaTheme="majorEastAsia"/>
          <w:b/>
        </w:rPr>
      </w:pPr>
      <w:r w:rsidRPr="00C9352C">
        <w:rPr>
          <w:rFonts w:eastAsia="Times New Roman"/>
          <w:sz w:val="32"/>
          <w:szCs w:val="32"/>
        </w:rPr>
        <w:t>If you would like this document in an accessible format, such as large print, audio recording or braille, please contact SEPA by emailing </w:t>
      </w:r>
      <w:hyperlink r:id="rId28"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p>
    <w:p w14:paraId="34F9C8AD" w14:textId="77777777" w:rsidR="006243FF" w:rsidRPr="00CE7AD0" w:rsidRDefault="006243FF" w:rsidP="009E550A">
      <w:pPr>
        <w:rPr>
          <w:color w:val="016574"/>
          <w:u w:val="single"/>
        </w:rPr>
      </w:pPr>
    </w:p>
    <w:sectPr w:rsidR="006243FF" w:rsidRPr="00CE7AD0" w:rsidSect="004F61C3">
      <w:pgSz w:w="16840" w:h="11900" w:orient="landscape"/>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D0DFD" w14:textId="77777777" w:rsidR="0027564B" w:rsidRDefault="0027564B" w:rsidP="00660C79">
      <w:pPr>
        <w:spacing w:line="240" w:lineRule="auto"/>
      </w:pPr>
      <w:r>
        <w:separator/>
      </w:r>
    </w:p>
  </w:endnote>
  <w:endnote w:type="continuationSeparator" w:id="0">
    <w:p w14:paraId="1ED36433" w14:textId="77777777" w:rsidR="0027564B" w:rsidRDefault="0027564B" w:rsidP="00660C79">
      <w:pPr>
        <w:spacing w:line="240" w:lineRule="auto"/>
      </w:pPr>
      <w:r>
        <w:continuationSeparator/>
      </w:r>
    </w:p>
  </w:endnote>
  <w:endnote w:type="continuationNotice" w:id="1">
    <w:p w14:paraId="5AF1CA22" w14:textId="77777777" w:rsidR="0027564B" w:rsidRDefault="002756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6994185"/>
      <w:docPartObj>
        <w:docPartGallery w:val="Page Numbers (Bottom of Page)"/>
        <w:docPartUnique/>
      </w:docPartObj>
    </w:sdtPr>
    <w:sdtEndPr>
      <w:rPr>
        <w:rStyle w:val="PageNumber"/>
      </w:rPr>
    </w:sdtEndPr>
    <w:sdtContent>
      <w:p w14:paraId="5E953BA1" w14:textId="77777777" w:rsidR="00EC6A73" w:rsidRDefault="00EC6A73" w:rsidP="001138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E1D6DC0"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8258E"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6634" w14:textId="77777777" w:rsidR="00EC6A73" w:rsidRDefault="00CE7AD0" w:rsidP="00917BB1">
    <w:pPr>
      <w:pStyle w:val="Footer"/>
      <w:ind w:right="360"/>
    </w:pPr>
    <w:r>
      <w:rPr>
        <w:noProof/>
      </w:rPr>
      <mc:AlternateContent>
        <mc:Choice Requires="wps">
          <w:drawing>
            <wp:anchor distT="0" distB="0" distL="114300" distR="114300" simplePos="0" relativeHeight="251658243" behindDoc="0" locked="0" layoutInCell="0" allowOverlap="1" wp14:anchorId="3C6A0F25" wp14:editId="4BD3DA87">
              <wp:simplePos x="0" y="0"/>
              <wp:positionH relativeFrom="page">
                <wp:posOffset>0</wp:posOffset>
              </wp:positionH>
              <wp:positionV relativeFrom="page">
                <wp:posOffset>10229215</wp:posOffset>
              </wp:positionV>
              <wp:extent cx="7556500" cy="273050"/>
              <wp:effectExtent l="0" t="0" r="0" b="1270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109DCF"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6A0F25" id="_x0000_t202" coordsize="21600,21600" o:spt="202" path="m,l,21600r21600,l21600,xe">
              <v:stroke joinstyle="miter"/>
              <v:path gradientshapeok="t" o:connecttype="rect"/>
            </v:shapetype>
            <v:shape id="Text Box 8" o:spid="_x0000_s1027" type="#_x0000_t202" alt="&quot;&quot;" style="position:absolute;margin-left:0;margin-top:805.4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48109DCF"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4749BB0C"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19734FF3" wp14:editId="77CEEE1F">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5B9AF"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7299933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B2DA91" w14:textId="77777777" w:rsidR="00917BB1" w:rsidRDefault="00917BB1" w:rsidP="00917BB1">
    <w:pPr>
      <w:pStyle w:val="Footer"/>
      <w:ind w:right="360"/>
    </w:pPr>
    <w:r>
      <w:rPr>
        <w:noProof/>
      </w:rPr>
      <w:drawing>
        <wp:inline distT="0" distB="0" distL="0" distR="0" wp14:anchorId="58921B17" wp14:editId="782616B2">
          <wp:extent cx="1007167" cy="265044"/>
          <wp:effectExtent l="0" t="0" r="0" b="1905"/>
          <wp:docPr id="1734158664" name="Picture 1734158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3BDA7" w14:textId="77777777" w:rsidR="00CE7AD0" w:rsidRDefault="00CE7AD0">
    <w:pPr>
      <w:pStyle w:val="Footer"/>
    </w:pPr>
    <w:r>
      <w:rPr>
        <w:noProof/>
      </w:rPr>
      <mc:AlternateContent>
        <mc:Choice Requires="wps">
          <w:drawing>
            <wp:anchor distT="0" distB="0" distL="114300" distR="114300" simplePos="0" relativeHeight="251658244" behindDoc="0" locked="0" layoutInCell="0" allowOverlap="1" wp14:anchorId="7083C726" wp14:editId="0A7BFA2A">
              <wp:simplePos x="0" y="0"/>
              <wp:positionH relativeFrom="page">
                <wp:posOffset>0</wp:posOffset>
              </wp:positionH>
              <wp:positionV relativeFrom="page">
                <wp:posOffset>10229215</wp:posOffset>
              </wp:positionV>
              <wp:extent cx="7556500" cy="273050"/>
              <wp:effectExtent l="0" t="0" r="0" b="1270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FAB44"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83C726" id="_x0000_t202" coordsize="21600,21600" o:spt="202" path="m,l,21600r21600,l21600,xe">
              <v:stroke joinstyle="miter"/>
              <v:path gradientshapeok="t" o:connecttype="rect"/>
            </v:shapetype>
            <v:shape id="Text Box 9" o:spid="_x0000_s1029"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072FAB44"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31739" w14:textId="77777777" w:rsidR="0027564B" w:rsidRDefault="0027564B" w:rsidP="00660C79">
      <w:pPr>
        <w:spacing w:line="240" w:lineRule="auto"/>
      </w:pPr>
      <w:r>
        <w:separator/>
      </w:r>
    </w:p>
  </w:footnote>
  <w:footnote w:type="continuationSeparator" w:id="0">
    <w:p w14:paraId="621BB00C" w14:textId="77777777" w:rsidR="0027564B" w:rsidRDefault="0027564B" w:rsidP="00660C79">
      <w:pPr>
        <w:spacing w:line="240" w:lineRule="auto"/>
      </w:pPr>
      <w:r>
        <w:continuationSeparator/>
      </w:r>
    </w:p>
  </w:footnote>
  <w:footnote w:type="continuationNotice" w:id="1">
    <w:p w14:paraId="671F1885" w14:textId="77777777" w:rsidR="0027564B" w:rsidRDefault="002756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61C0B" w14:textId="6CFD29A7" w:rsidR="008D113C" w:rsidRPr="00917BB1" w:rsidRDefault="00CE7AD0" w:rsidP="00E731D3">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5" behindDoc="0" locked="0" layoutInCell="0" allowOverlap="1" wp14:anchorId="28D04AC2" wp14:editId="59D0B237">
              <wp:simplePos x="0" y="0"/>
              <wp:positionH relativeFrom="page">
                <wp:posOffset>0</wp:posOffset>
              </wp:positionH>
              <wp:positionV relativeFrom="page">
                <wp:posOffset>190500</wp:posOffset>
              </wp:positionV>
              <wp:extent cx="7556500" cy="27305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52DBB"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8D04AC2" id="_x0000_t202" coordsize="21600,21600" o:spt="202" path="m,l,21600r21600,l21600,xe">
              <v:stroke joinstyle="miter"/>
              <v:path gradientshapeok="t" o:connecttype="rect"/>
            </v:shapetype>
            <v:shape id="Text Box 1" o:spid="_x0000_s1026" type="#_x0000_t202" alt="&quot;&quot;" style="position:absolute;left:0;text-align:left;margin-left:0;margin-top:1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9552DBB"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p w14:paraId="6DFEC60F"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651DB99" wp14:editId="7D623A78">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A9519"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D854" w14:textId="5DDDF6F2" w:rsidR="00CE7AD0" w:rsidRDefault="00CE7AD0">
    <w:pPr>
      <w:pStyle w:val="Header"/>
    </w:pPr>
    <w:r>
      <w:rPr>
        <w:noProof/>
      </w:rPr>
      <mc:AlternateContent>
        <mc:Choice Requires="wps">
          <w:drawing>
            <wp:anchor distT="0" distB="0" distL="114300" distR="114300" simplePos="0" relativeHeight="251658242" behindDoc="0" locked="0" layoutInCell="0" allowOverlap="1" wp14:anchorId="6841A698" wp14:editId="39A0FFD8">
              <wp:simplePos x="0" y="0"/>
              <wp:positionH relativeFrom="page">
                <wp:posOffset>0</wp:posOffset>
              </wp:positionH>
              <wp:positionV relativeFrom="page">
                <wp:posOffset>190500</wp:posOffset>
              </wp:positionV>
              <wp:extent cx="7556500" cy="273050"/>
              <wp:effectExtent l="0" t="0" r="0" b="127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0C8F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841A698" id="_x0000_t202" coordsize="21600,21600" o:spt="202" path="m,l,21600r21600,l21600,xe">
              <v:stroke joinstyle="miter"/>
              <v:path gradientshapeok="t" o:connecttype="rect"/>
            </v:shapetype>
            <v:shape id="Text Box 6" o:spid="_x0000_s1028" type="#_x0000_t202" alt="&quot;&quot;" style="position:absolute;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77B0C8F3" w14:textId="77777777" w:rsidR="00CE7AD0" w:rsidRPr="00CE7AD0" w:rsidRDefault="00CE7AD0"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B5C"/>
    <w:multiLevelType w:val="multilevel"/>
    <w:tmpl w:val="D2744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2AC0A45"/>
    <w:multiLevelType w:val="multilevel"/>
    <w:tmpl w:val="4D2053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81C282B"/>
    <w:multiLevelType w:val="multilevel"/>
    <w:tmpl w:val="8CE83F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9A87063"/>
    <w:multiLevelType w:val="multilevel"/>
    <w:tmpl w:val="9AA2BB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DFE415F"/>
    <w:multiLevelType w:val="multilevel"/>
    <w:tmpl w:val="4B38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CF4BC4"/>
    <w:multiLevelType w:val="multilevel"/>
    <w:tmpl w:val="A288AB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2825267"/>
    <w:multiLevelType w:val="multilevel"/>
    <w:tmpl w:val="03E8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5152CD"/>
    <w:multiLevelType w:val="multilevel"/>
    <w:tmpl w:val="B6F69F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D8E1F94"/>
    <w:multiLevelType w:val="multilevel"/>
    <w:tmpl w:val="0028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FFC5613"/>
    <w:multiLevelType w:val="multilevel"/>
    <w:tmpl w:val="CBAC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8D3302"/>
    <w:multiLevelType w:val="multilevel"/>
    <w:tmpl w:val="2FD8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B5308D"/>
    <w:multiLevelType w:val="multilevel"/>
    <w:tmpl w:val="B8A408C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74644"/>
    <w:multiLevelType w:val="multilevel"/>
    <w:tmpl w:val="CC56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597B1C"/>
    <w:multiLevelType w:val="multilevel"/>
    <w:tmpl w:val="44E2F0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7352FE5"/>
    <w:multiLevelType w:val="multilevel"/>
    <w:tmpl w:val="2854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26"/>
  </w:num>
  <w:num w:numId="12" w16cid:durableId="60641277">
    <w:abstractNumId w:val="22"/>
  </w:num>
  <w:num w:numId="13" w16cid:durableId="2002156795">
    <w:abstractNumId w:val="14"/>
  </w:num>
  <w:num w:numId="14" w16cid:durableId="2135127488">
    <w:abstractNumId w:val="16"/>
  </w:num>
  <w:num w:numId="15" w16cid:durableId="850415008">
    <w:abstractNumId w:val="25"/>
  </w:num>
  <w:num w:numId="16" w16cid:durableId="2031485846">
    <w:abstractNumId w:val="19"/>
  </w:num>
  <w:num w:numId="17" w16cid:durableId="768934194">
    <w:abstractNumId w:val="20"/>
  </w:num>
  <w:num w:numId="18" w16cid:durableId="1946884126">
    <w:abstractNumId w:val="10"/>
  </w:num>
  <w:num w:numId="19" w16cid:durableId="1500265299">
    <w:abstractNumId w:val="24"/>
  </w:num>
  <w:num w:numId="20" w16cid:durableId="842208231">
    <w:abstractNumId w:val="13"/>
  </w:num>
  <w:num w:numId="21" w16cid:durableId="666833267">
    <w:abstractNumId w:val="17"/>
  </w:num>
  <w:num w:numId="22" w16cid:durableId="1815103179">
    <w:abstractNumId w:val="12"/>
  </w:num>
  <w:num w:numId="23" w16cid:durableId="1611887563">
    <w:abstractNumId w:val="15"/>
  </w:num>
  <w:num w:numId="24" w16cid:durableId="1804696202">
    <w:abstractNumId w:val="11"/>
  </w:num>
  <w:num w:numId="25" w16cid:durableId="704792509">
    <w:abstractNumId w:val="21"/>
  </w:num>
  <w:num w:numId="26" w16cid:durableId="414402521">
    <w:abstractNumId w:val="23"/>
  </w:num>
  <w:num w:numId="27" w16cid:durableId="5062109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02"/>
    <w:rsid w:val="000070E5"/>
    <w:rsid w:val="00032829"/>
    <w:rsid w:val="00040561"/>
    <w:rsid w:val="00060FF4"/>
    <w:rsid w:val="00070937"/>
    <w:rsid w:val="00080188"/>
    <w:rsid w:val="000841DE"/>
    <w:rsid w:val="000874AA"/>
    <w:rsid w:val="000B7559"/>
    <w:rsid w:val="000E0D15"/>
    <w:rsid w:val="000F7BA6"/>
    <w:rsid w:val="00105F31"/>
    <w:rsid w:val="001138C7"/>
    <w:rsid w:val="00124F02"/>
    <w:rsid w:val="00135D1C"/>
    <w:rsid w:val="0014503E"/>
    <w:rsid w:val="001806B4"/>
    <w:rsid w:val="00180C02"/>
    <w:rsid w:val="001A4093"/>
    <w:rsid w:val="001D1EA9"/>
    <w:rsid w:val="001D38EE"/>
    <w:rsid w:val="001F0185"/>
    <w:rsid w:val="002170E5"/>
    <w:rsid w:val="00231FBA"/>
    <w:rsid w:val="00236552"/>
    <w:rsid w:val="0024635F"/>
    <w:rsid w:val="00254571"/>
    <w:rsid w:val="0027564B"/>
    <w:rsid w:val="00280743"/>
    <w:rsid w:val="00281BB1"/>
    <w:rsid w:val="00290883"/>
    <w:rsid w:val="00290B1F"/>
    <w:rsid w:val="002B3FD5"/>
    <w:rsid w:val="002C472B"/>
    <w:rsid w:val="0030096D"/>
    <w:rsid w:val="00317618"/>
    <w:rsid w:val="00326AE8"/>
    <w:rsid w:val="0033206F"/>
    <w:rsid w:val="00342C55"/>
    <w:rsid w:val="00343A6E"/>
    <w:rsid w:val="00345FA2"/>
    <w:rsid w:val="003550BE"/>
    <w:rsid w:val="00381EB8"/>
    <w:rsid w:val="00385D80"/>
    <w:rsid w:val="00395A79"/>
    <w:rsid w:val="003A70E5"/>
    <w:rsid w:val="003D3B31"/>
    <w:rsid w:val="003E33DA"/>
    <w:rsid w:val="003F5384"/>
    <w:rsid w:val="004073BC"/>
    <w:rsid w:val="004158FA"/>
    <w:rsid w:val="0043236A"/>
    <w:rsid w:val="00444AA1"/>
    <w:rsid w:val="00451F0E"/>
    <w:rsid w:val="004755BC"/>
    <w:rsid w:val="004839E9"/>
    <w:rsid w:val="004900B5"/>
    <w:rsid w:val="004A01B8"/>
    <w:rsid w:val="004A32BF"/>
    <w:rsid w:val="004B2CB7"/>
    <w:rsid w:val="004B4B48"/>
    <w:rsid w:val="004B67FB"/>
    <w:rsid w:val="004C2B8D"/>
    <w:rsid w:val="004F61C3"/>
    <w:rsid w:val="0052425B"/>
    <w:rsid w:val="00530969"/>
    <w:rsid w:val="005311B5"/>
    <w:rsid w:val="00545D18"/>
    <w:rsid w:val="00551989"/>
    <w:rsid w:val="00563FFA"/>
    <w:rsid w:val="005661B7"/>
    <w:rsid w:val="0057040D"/>
    <w:rsid w:val="005947A1"/>
    <w:rsid w:val="005A1738"/>
    <w:rsid w:val="005A355E"/>
    <w:rsid w:val="005B1723"/>
    <w:rsid w:val="005C09CE"/>
    <w:rsid w:val="005C79A9"/>
    <w:rsid w:val="005D1213"/>
    <w:rsid w:val="0062156C"/>
    <w:rsid w:val="006243FF"/>
    <w:rsid w:val="006335FF"/>
    <w:rsid w:val="00650B15"/>
    <w:rsid w:val="00660C79"/>
    <w:rsid w:val="00691781"/>
    <w:rsid w:val="006952BF"/>
    <w:rsid w:val="006959BD"/>
    <w:rsid w:val="006A409A"/>
    <w:rsid w:val="006C4A76"/>
    <w:rsid w:val="006C7BC1"/>
    <w:rsid w:val="006D16CE"/>
    <w:rsid w:val="006F53A3"/>
    <w:rsid w:val="0073029F"/>
    <w:rsid w:val="0077545C"/>
    <w:rsid w:val="00795A36"/>
    <w:rsid w:val="007A398C"/>
    <w:rsid w:val="007A5C32"/>
    <w:rsid w:val="007B460B"/>
    <w:rsid w:val="007C3F12"/>
    <w:rsid w:val="007D441B"/>
    <w:rsid w:val="00801105"/>
    <w:rsid w:val="00810526"/>
    <w:rsid w:val="00836BC4"/>
    <w:rsid w:val="00861B46"/>
    <w:rsid w:val="00885191"/>
    <w:rsid w:val="00891D82"/>
    <w:rsid w:val="008971B9"/>
    <w:rsid w:val="008C1A73"/>
    <w:rsid w:val="008C7086"/>
    <w:rsid w:val="008D0F75"/>
    <w:rsid w:val="008D113C"/>
    <w:rsid w:val="008D376F"/>
    <w:rsid w:val="008E145B"/>
    <w:rsid w:val="008E5158"/>
    <w:rsid w:val="00917BB1"/>
    <w:rsid w:val="00961668"/>
    <w:rsid w:val="00975D21"/>
    <w:rsid w:val="0097709D"/>
    <w:rsid w:val="00980531"/>
    <w:rsid w:val="009A240D"/>
    <w:rsid w:val="009C39D6"/>
    <w:rsid w:val="009C53F6"/>
    <w:rsid w:val="009C6D0A"/>
    <w:rsid w:val="009E550A"/>
    <w:rsid w:val="009F3504"/>
    <w:rsid w:val="00A1131E"/>
    <w:rsid w:val="00A12B0B"/>
    <w:rsid w:val="00A24A89"/>
    <w:rsid w:val="00A3070D"/>
    <w:rsid w:val="00A3247D"/>
    <w:rsid w:val="00A43D1D"/>
    <w:rsid w:val="00A44CDF"/>
    <w:rsid w:val="00A46804"/>
    <w:rsid w:val="00A65414"/>
    <w:rsid w:val="00A80582"/>
    <w:rsid w:val="00A91386"/>
    <w:rsid w:val="00A9349C"/>
    <w:rsid w:val="00AA6F20"/>
    <w:rsid w:val="00AB264D"/>
    <w:rsid w:val="00AC7FEA"/>
    <w:rsid w:val="00AD25AE"/>
    <w:rsid w:val="00AD321D"/>
    <w:rsid w:val="00AD507F"/>
    <w:rsid w:val="00AE068C"/>
    <w:rsid w:val="00AE1DFE"/>
    <w:rsid w:val="00AE5779"/>
    <w:rsid w:val="00B33A7E"/>
    <w:rsid w:val="00B46E48"/>
    <w:rsid w:val="00B54CF4"/>
    <w:rsid w:val="00B87640"/>
    <w:rsid w:val="00C20762"/>
    <w:rsid w:val="00C22B35"/>
    <w:rsid w:val="00C30808"/>
    <w:rsid w:val="00C528F8"/>
    <w:rsid w:val="00C52D14"/>
    <w:rsid w:val="00C569B9"/>
    <w:rsid w:val="00C9352C"/>
    <w:rsid w:val="00CA3310"/>
    <w:rsid w:val="00CA6D5A"/>
    <w:rsid w:val="00CB4CE5"/>
    <w:rsid w:val="00CB613C"/>
    <w:rsid w:val="00CB67F9"/>
    <w:rsid w:val="00CD0362"/>
    <w:rsid w:val="00CD47EC"/>
    <w:rsid w:val="00CD6AC0"/>
    <w:rsid w:val="00CD7565"/>
    <w:rsid w:val="00CE7AD0"/>
    <w:rsid w:val="00CF7EFB"/>
    <w:rsid w:val="00D02965"/>
    <w:rsid w:val="00D0490E"/>
    <w:rsid w:val="00D35448"/>
    <w:rsid w:val="00D5379F"/>
    <w:rsid w:val="00D55049"/>
    <w:rsid w:val="00D74925"/>
    <w:rsid w:val="00D7559F"/>
    <w:rsid w:val="00D96A6A"/>
    <w:rsid w:val="00DB4FC3"/>
    <w:rsid w:val="00DC2548"/>
    <w:rsid w:val="00DC4C74"/>
    <w:rsid w:val="00DC6469"/>
    <w:rsid w:val="00DD5EAC"/>
    <w:rsid w:val="00E11A56"/>
    <w:rsid w:val="00E4531C"/>
    <w:rsid w:val="00E57AD9"/>
    <w:rsid w:val="00E67C75"/>
    <w:rsid w:val="00E731D3"/>
    <w:rsid w:val="00EA72BA"/>
    <w:rsid w:val="00EC6077"/>
    <w:rsid w:val="00EC6A73"/>
    <w:rsid w:val="00EC6AF2"/>
    <w:rsid w:val="00EE21CC"/>
    <w:rsid w:val="00EE54FD"/>
    <w:rsid w:val="00EF39E0"/>
    <w:rsid w:val="00EF7F00"/>
    <w:rsid w:val="00F03DB7"/>
    <w:rsid w:val="00F0686D"/>
    <w:rsid w:val="00F07048"/>
    <w:rsid w:val="00F138CF"/>
    <w:rsid w:val="00F46645"/>
    <w:rsid w:val="00F5643E"/>
    <w:rsid w:val="00F7042E"/>
    <w:rsid w:val="00F72274"/>
    <w:rsid w:val="00FB1085"/>
    <w:rsid w:val="00FC778A"/>
    <w:rsid w:val="00FF5D5A"/>
    <w:rsid w:val="02477846"/>
    <w:rsid w:val="02D2FFEA"/>
    <w:rsid w:val="02DA0B4E"/>
    <w:rsid w:val="03609230"/>
    <w:rsid w:val="03793B73"/>
    <w:rsid w:val="0394FE30"/>
    <w:rsid w:val="03CF9686"/>
    <w:rsid w:val="0418000C"/>
    <w:rsid w:val="0444A762"/>
    <w:rsid w:val="05748E5A"/>
    <w:rsid w:val="08EC47B4"/>
    <w:rsid w:val="09163443"/>
    <w:rsid w:val="09CD1786"/>
    <w:rsid w:val="0BA11ECE"/>
    <w:rsid w:val="0BA12668"/>
    <w:rsid w:val="0BE4F73C"/>
    <w:rsid w:val="0C1ADF0D"/>
    <w:rsid w:val="0D417BDF"/>
    <w:rsid w:val="0DD510FA"/>
    <w:rsid w:val="0E9AF69B"/>
    <w:rsid w:val="0F185847"/>
    <w:rsid w:val="103EDCF6"/>
    <w:rsid w:val="10F4F658"/>
    <w:rsid w:val="126F8928"/>
    <w:rsid w:val="127AEA44"/>
    <w:rsid w:val="12D5C038"/>
    <w:rsid w:val="131CD35D"/>
    <w:rsid w:val="14CCBA37"/>
    <w:rsid w:val="14F0D9CD"/>
    <w:rsid w:val="15B37D57"/>
    <w:rsid w:val="15F24913"/>
    <w:rsid w:val="198027B2"/>
    <w:rsid w:val="19BF1D33"/>
    <w:rsid w:val="1B3E4A47"/>
    <w:rsid w:val="1E2440B2"/>
    <w:rsid w:val="1E639C5C"/>
    <w:rsid w:val="1E8885DE"/>
    <w:rsid w:val="1EB8E07B"/>
    <w:rsid w:val="1EC3AC33"/>
    <w:rsid w:val="1EE17F4B"/>
    <w:rsid w:val="1F7EAFA2"/>
    <w:rsid w:val="20B5ECA5"/>
    <w:rsid w:val="21CC5920"/>
    <w:rsid w:val="22FC4B4C"/>
    <w:rsid w:val="238CB097"/>
    <w:rsid w:val="24970B78"/>
    <w:rsid w:val="25962711"/>
    <w:rsid w:val="26022A3B"/>
    <w:rsid w:val="2649C55E"/>
    <w:rsid w:val="2841864E"/>
    <w:rsid w:val="2A4C09A8"/>
    <w:rsid w:val="2ACCAC33"/>
    <w:rsid w:val="2BBF84E1"/>
    <w:rsid w:val="2BC1F515"/>
    <w:rsid w:val="2D55C08C"/>
    <w:rsid w:val="2E5DC268"/>
    <w:rsid w:val="2FBE4EAA"/>
    <w:rsid w:val="30247E9C"/>
    <w:rsid w:val="30E7B6E2"/>
    <w:rsid w:val="3231479A"/>
    <w:rsid w:val="337DC65C"/>
    <w:rsid w:val="365B0479"/>
    <w:rsid w:val="365B10BF"/>
    <w:rsid w:val="37E80D03"/>
    <w:rsid w:val="3916CC75"/>
    <w:rsid w:val="394506BB"/>
    <w:rsid w:val="39946045"/>
    <w:rsid w:val="3B86932D"/>
    <w:rsid w:val="3BEA4E7F"/>
    <w:rsid w:val="3FAADDBA"/>
    <w:rsid w:val="3FDF4AE3"/>
    <w:rsid w:val="401FDA56"/>
    <w:rsid w:val="41F2C78A"/>
    <w:rsid w:val="43EBC53B"/>
    <w:rsid w:val="44C0EB7F"/>
    <w:rsid w:val="458093BA"/>
    <w:rsid w:val="45C82480"/>
    <w:rsid w:val="47D376A2"/>
    <w:rsid w:val="47DB9552"/>
    <w:rsid w:val="47E31635"/>
    <w:rsid w:val="48408F78"/>
    <w:rsid w:val="488A5B9C"/>
    <w:rsid w:val="48F7160A"/>
    <w:rsid w:val="4BF2648D"/>
    <w:rsid w:val="4D4E5B12"/>
    <w:rsid w:val="4F3F8E44"/>
    <w:rsid w:val="501CDAE7"/>
    <w:rsid w:val="51C542F4"/>
    <w:rsid w:val="528A0A39"/>
    <w:rsid w:val="536F6EE8"/>
    <w:rsid w:val="53AB8CB6"/>
    <w:rsid w:val="54B72723"/>
    <w:rsid w:val="5504F6AE"/>
    <w:rsid w:val="551E30C9"/>
    <w:rsid w:val="5641B3F6"/>
    <w:rsid w:val="5676AB74"/>
    <w:rsid w:val="56B63617"/>
    <w:rsid w:val="58131612"/>
    <w:rsid w:val="58435379"/>
    <w:rsid w:val="58566B09"/>
    <w:rsid w:val="598C8377"/>
    <w:rsid w:val="5A18381A"/>
    <w:rsid w:val="5AC322FA"/>
    <w:rsid w:val="5C862A84"/>
    <w:rsid w:val="5D3C4D2F"/>
    <w:rsid w:val="5E907DAB"/>
    <w:rsid w:val="63DB9CB9"/>
    <w:rsid w:val="64863769"/>
    <w:rsid w:val="64ED5530"/>
    <w:rsid w:val="65945FED"/>
    <w:rsid w:val="66091E08"/>
    <w:rsid w:val="66CCD56F"/>
    <w:rsid w:val="68FAFE7C"/>
    <w:rsid w:val="691DAB29"/>
    <w:rsid w:val="6B2E197C"/>
    <w:rsid w:val="6CD6DE0E"/>
    <w:rsid w:val="6CF073F1"/>
    <w:rsid w:val="6D762756"/>
    <w:rsid w:val="6DE01A8B"/>
    <w:rsid w:val="6E98CBC4"/>
    <w:rsid w:val="708F6E99"/>
    <w:rsid w:val="70E2C865"/>
    <w:rsid w:val="71914070"/>
    <w:rsid w:val="71FF2B24"/>
    <w:rsid w:val="73A0F206"/>
    <w:rsid w:val="7421DFB1"/>
    <w:rsid w:val="7454D862"/>
    <w:rsid w:val="74CAAD54"/>
    <w:rsid w:val="775A7288"/>
    <w:rsid w:val="78F0E29E"/>
    <w:rsid w:val="7907F927"/>
    <w:rsid w:val="7B3F0459"/>
    <w:rsid w:val="7B9A797F"/>
    <w:rsid w:val="7D7B1B07"/>
    <w:rsid w:val="7E37C94A"/>
    <w:rsid w:val="7E8E158A"/>
    <w:rsid w:val="7EA06C36"/>
    <w:rsid w:val="7FD7D1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9088"/>
  <w15:chartTrackingRefBased/>
  <w15:docId w15:val="{2EAD1D34-E25C-43FF-B59C-73BFBE4A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B9"/>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180C0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180C02"/>
  </w:style>
  <w:style w:type="character" w:customStyle="1" w:styleId="eop">
    <w:name w:val="eop"/>
    <w:basedOn w:val="DefaultParagraphFont"/>
    <w:rsid w:val="00180C02"/>
  </w:style>
  <w:style w:type="character" w:styleId="FollowedHyperlink">
    <w:name w:val="FollowedHyperlink"/>
    <w:basedOn w:val="DefaultParagraphFont"/>
    <w:uiPriority w:val="99"/>
    <w:semiHidden/>
    <w:unhideWhenUsed/>
    <w:rsid w:val="00C30808"/>
    <w:rPr>
      <w:color w:val="016574" w:themeColor="followedHyperlink"/>
      <w:u w:val="single"/>
    </w:rPr>
  </w:style>
  <w:style w:type="paragraph" w:styleId="ListParagraph">
    <w:name w:val="List Paragraph"/>
    <w:basedOn w:val="Normal"/>
    <w:uiPriority w:val="34"/>
    <w:qFormat/>
    <w:rsid w:val="003D3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9234">
      <w:bodyDiv w:val="1"/>
      <w:marLeft w:val="0"/>
      <w:marRight w:val="0"/>
      <w:marTop w:val="0"/>
      <w:marBottom w:val="0"/>
      <w:divBdr>
        <w:top w:val="none" w:sz="0" w:space="0" w:color="auto"/>
        <w:left w:val="none" w:sz="0" w:space="0" w:color="auto"/>
        <w:bottom w:val="none" w:sz="0" w:space="0" w:color="auto"/>
        <w:right w:val="none" w:sz="0" w:space="0" w:color="auto"/>
      </w:divBdr>
    </w:div>
    <w:div w:id="350760100">
      <w:bodyDiv w:val="1"/>
      <w:marLeft w:val="0"/>
      <w:marRight w:val="0"/>
      <w:marTop w:val="0"/>
      <w:marBottom w:val="0"/>
      <w:divBdr>
        <w:top w:val="none" w:sz="0" w:space="0" w:color="auto"/>
        <w:left w:val="none" w:sz="0" w:space="0" w:color="auto"/>
        <w:bottom w:val="none" w:sz="0" w:space="0" w:color="auto"/>
        <w:right w:val="none" w:sz="0" w:space="0" w:color="auto"/>
      </w:divBdr>
    </w:div>
    <w:div w:id="808783829">
      <w:bodyDiv w:val="1"/>
      <w:marLeft w:val="0"/>
      <w:marRight w:val="0"/>
      <w:marTop w:val="0"/>
      <w:marBottom w:val="0"/>
      <w:divBdr>
        <w:top w:val="none" w:sz="0" w:space="0" w:color="auto"/>
        <w:left w:val="none" w:sz="0" w:space="0" w:color="auto"/>
        <w:bottom w:val="none" w:sz="0" w:space="0" w:color="auto"/>
        <w:right w:val="none" w:sz="0" w:space="0" w:color="auto"/>
      </w:divBdr>
      <w:divsChild>
        <w:div w:id="262029806">
          <w:marLeft w:val="0"/>
          <w:marRight w:val="0"/>
          <w:marTop w:val="0"/>
          <w:marBottom w:val="0"/>
          <w:divBdr>
            <w:top w:val="none" w:sz="0" w:space="0" w:color="auto"/>
            <w:left w:val="none" w:sz="0" w:space="0" w:color="auto"/>
            <w:bottom w:val="none" w:sz="0" w:space="0" w:color="auto"/>
            <w:right w:val="none" w:sz="0" w:space="0" w:color="auto"/>
          </w:divBdr>
        </w:div>
        <w:div w:id="731931389">
          <w:marLeft w:val="0"/>
          <w:marRight w:val="0"/>
          <w:marTop w:val="0"/>
          <w:marBottom w:val="0"/>
          <w:divBdr>
            <w:top w:val="none" w:sz="0" w:space="0" w:color="auto"/>
            <w:left w:val="none" w:sz="0" w:space="0" w:color="auto"/>
            <w:bottom w:val="none" w:sz="0" w:space="0" w:color="auto"/>
            <w:right w:val="none" w:sz="0" w:space="0" w:color="auto"/>
          </w:divBdr>
        </w:div>
        <w:div w:id="760028193">
          <w:marLeft w:val="0"/>
          <w:marRight w:val="0"/>
          <w:marTop w:val="0"/>
          <w:marBottom w:val="0"/>
          <w:divBdr>
            <w:top w:val="none" w:sz="0" w:space="0" w:color="auto"/>
            <w:left w:val="none" w:sz="0" w:space="0" w:color="auto"/>
            <w:bottom w:val="none" w:sz="0" w:space="0" w:color="auto"/>
            <w:right w:val="none" w:sz="0" w:space="0" w:color="auto"/>
          </w:divBdr>
        </w:div>
        <w:div w:id="950476430">
          <w:marLeft w:val="0"/>
          <w:marRight w:val="0"/>
          <w:marTop w:val="0"/>
          <w:marBottom w:val="0"/>
          <w:divBdr>
            <w:top w:val="none" w:sz="0" w:space="0" w:color="auto"/>
            <w:left w:val="none" w:sz="0" w:space="0" w:color="auto"/>
            <w:bottom w:val="none" w:sz="0" w:space="0" w:color="auto"/>
            <w:right w:val="none" w:sz="0" w:space="0" w:color="auto"/>
          </w:divBdr>
        </w:div>
        <w:div w:id="1147866461">
          <w:marLeft w:val="0"/>
          <w:marRight w:val="0"/>
          <w:marTop w:val="0"/>
          <w:marBottom w:val="0"/>
          <w:divBdr>
            <w:top w:val="none" w:sz="0" w:space="0" w:color="auto"/>
            <w:left w:val="none" w:sz="0" w:space="0" w:color="auto"/>
            <w:bottom w:val="none" w:sz="0" w:space="0" w:color="auto"/>
            <w:right w:val="none" w:sz="0" w:space="0" w:color="auto"/>
          </w:divBdr>
        </w:div>
      </w:divsChild>
    </w:div>
    <w:div w:id="841700491">
      <w:bodyDiv w:val="1"/>
      <w:marLeft w:val="0"/>
      <w:marRight w:val="0"/>
      <w:marTop w:val="0"/>
      <w:marBottom w:val="0"/>
      <w:divBdr>
        <w:top w:val="none" w:sz="0" w:space="0" w:color="auto"/>
        <w:left w:val="none" w:sz="0" w:space="0" w:color="auto"/>
        <w:bottom w:val="none" w:sz="0" w:space="0" w:color="auto"/>
        <w:right w:val="none" w:sz="0" w:space="0" w:color="auto"/>
      </w:divBdr>
      <w:divsChild>
        <w:div w:id="11685093">
          <w:marLeft w:val="0"/>
          <w:marRight w:val="0"/>
          <w:marTop w:val="0"/>
          <w:marBottom w:val="0"/>
          <w:divBdr>
            <w:top w:val="none" w:sz="0" w:space="0" w:color="auto"/>
            <w:left w:val="none" w:sz="0" w:space="0" w:color="auto"/>
            <w:bottom w:val="none" w:sz="0" w:space="0" w:color="auto"/>
            <w:right w:val="none" w:sz="0" w:space="0" w:color="auto"/>
          </w:divBdr>
        </w:div>
        <w:div w:id="248005677">
          <w:marLeft w:val="0"/>
          <w:marRight w:val="0"/>
          <w:marTop w:val="0"/>
          <w:marBottom w:val="0"/>
          <w:divBdr>
            <w:top w:val="none" w:sz="0" w:space="0" w:color="auto"/>
            <w:left w:val="none" w:sz="0" w:space="0" w:color="auto"/>
            <w:bottom w:val="none" w:sz="0" w:space="0" w:color="auto"/>
            <w:right w:val="none" w:sz="0" w:space="0" w:color="auto"/>
          </w:divBdr>
        </w:div>
        <w:div w:id="356540037">
          <w:marLeft w:val="0"/>
          <w:marRight w:val="0"/>
          <w:marTop w:val="0"/>
          <w:marBottom w:val="0"/>
          <w:divBdr>
            <w:top w:val="none" w:sz="0" w:space="0" w:color="auto"/>
            <w:left w:val="none" w:sz="0" w:space="0" w:color="auto"/>
            <w:bottom w:val="none" w:sz="0" w:space="0" w:color="auto"/>
            <w:right w:val="none" w:sz="0" w:space="0" w:color="auto"/>
          </w:divBdr>
        </w:div>
        <w:div w:id="462579170">
          <w:marLeft w:val="0"/>
          <w:marRight w:val="0"/>
          <w:marTop w:val="0"/>
          <w:marBottom w:val="0"/>
          <w:divBdr>
            <w:top w:val="none" w:sz="0" w:space="0" w:color="auto"/>
            <w:left w:val="none" w:sz="0" w:space="0" w:color="auto"/>
            <w:bottom w:val="none" w:sz="0" w:space="0" w:color="auto"/>
            <w:right w:val="none" w:sz="0" w:space="0" w:color="auto"/>
          </w:divBdr>
        </w:div>
        <w:div w:id="692616212">
          <w:marLeft w:val="0"/>
          <w:marRight w:val="0"/>
          <w:marTop w:val="0"/>
          <w:marBottom w:val="0"/>
          <w:divBdr>
            <w:top w:val="none" w:sz="0" w:space="0" w:color="auto"/>
            <w:left w:val="none" w:sz="0" w:space="0" w:color="auto"/>
            <w:bottom w:val="none" w:sz="0" w:space="0" w:color="auto"/>
            <w:right w:val="none" w:sz="0" w:space="0" w:color="auto"/>
          </w:divBdr>
        </w:div>
        <w:div w:id="733622310">
          <w:marLeft w:val="0"/>
          <w:marRight w:val="0"/>
          <w:marTop w:val="0"/>
          <w:marBottom w:val="0"/>
          <w:divBdr>
            <w:top w:val="none" w:sz="0" w:space="0" w:color="auto"/>
            <w:left w:val="none" w:sz="0" w:space="0" w:color="auto"/>
            <w:bottom w:val="none" w:sz="0" w:space="0" w:color="auto"/>
            <w:right w:val="none" w:sz="0" w:space="0" w:color="auto"/>
          </w:divBdr>
        </w:div>
        <w:div w:id="835387813">
          <w:marLeft w:val="0"/>
          <w:marRight w:val="0"/>
          <w:marTop w:val="0"/>
          <w:marBottom w:val="0"/>
          <w:divBdr>
            <w:top w:val="none" w:sz="0" w:space="0" w:color="auto"/>
            <w:left w:val="none" w:sz="0" w:space="0" w:color="auto"/>
            <w:bottom w:val="none" w:sz="0" w:space="0" w:color="auto"/>
            <w:right w:val="none" w:sz="0" w:space="0" w:color="auto"/>
          </w:divBdr>
        </w:div>
      </w:divsChild>
    </w:div>
    <w:div w:id="989479923">
      <w:bodyDiv w:val="1"/>
      <w:marLeft w:val="0"/>
      <w:marRight w:val="0"/>
      <w:marTop w:val="0"/>
      <w:marBottom w:val="0"/>
      <w:divBdr>
        <w:top w:val="none" w:sz="0" w:space="0" w:color="auto"/>
        <w:left w:val="none" w:sz="0" w:space="0" w:color="auto"/>
        <w:bottom w:val="none" w:sz="0" w:space="0" w:color="auto"/>
        <w:right w:val="none" w:sz="0" w:space="0" w:color="auto"/>
      </w:divBdr>
      <w:divsChild>
        <w:div w:id="46877426">
          <w:marLeft w:val="0"/>
          <w:marRight w:val="0"/>
          <w:marTop w:val="0"/>
          <w:marBottom w:val="0"/>
          <w:divBdr>
            <w:top w:val="none" w:sz="0" w:space="0" w:color="auto"/>
            <w:left w:val="none" w:sz="0" w:space="0" w:color="auto"/>
            <w:bottom w:val="none" w:sz="0" w:space="0" w:color="auto"/>
            <w:right w:val="none" w:sz="0" w:space="0" w:color="auto"/>
          </w:divBdr>
        </w:div>
        <w:div w:id="1495728592">
          <w:marLeft w:val="0"/>
          <w:marRight w:val="0"/>
          <w:marTop w:val="0"/>
          <w:marBottom w:val="0"/>
          <w:divBdr>
            <w:top w:val="none" w:sz="0" w:space="0" w:color="auto"/>
            <w:left w:val="none" w:sz="0" w:space="0" w:color="auto"/>
            <w:bottom w:val="none" w:sz="0" w:space="0" w:color="auto"/>
            <w:right w:val="none" w:sz="0" w:space="0" w:color="auto"/>
          </w:divBdr>
        </w:div>
      </w:divsChild>
    </w:div>
    <w:div w:id="1335651242">
      <w:bodyDiv w:val="1"/>
      <w:marLeft w:val="0"/>
      <w:marRight w:val="0"/>
      <w:marTop w:val="0"/>
      <w:marBottom w:val="0"/>
      <w:divBdr>
        <w:top w:val="none" w:sz="0" w:space="0" w:color="auto"/>
        <w:left w:val="none" w:sz="0" w:space="0" w:color="auto"/>
        <w:bottom w:val="none" w:sz="0" w:space="0" w:color="auto"/>
        <w:right w:val="none" w:sz="0" w:space="0" w:color="auto"/>
      </w:divBdr>
      <w:divsChild>
        <w:div w:id="121848226">
          <w:marLeft w:val="0"/>
          <w:marRight w:val="0"/>
          <w:marTop w:val="0"/>
          <w:marBottom w:val="0"/>
          <w:divBdr>
            <w:top w:val="none" w:sz="0" w:space="0" w:color="auto"/>
            <w:left w:val="none" w:sz="0" w:space="0" w:color="auto"/>
            <w:bottom w:val="none" w:sz="0" w:space="0" w:color="auto"/>
            <w:right w:val="none" w:sz="0" w:space="0" w:color="auto"/>
          </w:divBdr>
        </w:div>
        <w:div w:id="163478982">
          <w:marLeft w:val="0"/>
          <w:marRight w:val="0"/>
          <w:marTop w:val="0"/>
          <w:marBottom w:val="0"/>
          <w:divBdr>
            <w:top w:val="none" w:sz="0" w:space="0" w:color="auto"/>
            <w:left w:val="none" w:sz="0" w:space="0" w:color="auto"/>
            <w:bottom w:val="none" w:sz="0" w:space="0" w:color="auto"/>
            <w:right w:val="none" w:sz="0" w:space="0" w:color="auto"/>
          </w:divBdr>
        </w:div>
        <w:div w:id="1200167290">
          <w:marLeft w:val="0"/>
          <w:marRight w:val="0"/>
          <w:marTop w:val="0"/>
          <w:marBottom w:val="0"/>
          <w:divBdr>
            <w:top w:val="none" w:sz="0" w:space="0" w:color="auto"/>
            <w:left w:val="none" w:sz="0" w:space="0" w:color="auto"/>
            <w:bottom w:val="none" w:sz="0" w:space="0" w:color="auto"/>
            <w:right w:val="none" w:sz="0" w:space="0" w:color="auto"/>
          </w:divBdr>
        </w:div>
        <w:div w:id="2024163370">
          <w:marLeft w:val="0"/>
          <w:marRight w:val="0"/>
          <w:marTop w:val="0"/>
          <w:marBottom w:val="0"/>
          <w:divBdr>
            <w:top w:val="none" w:sz="0" w:space="0" w:color="auto"/>
            <w:left w:val="none" w:sz="0" w:space="0" w:color="auto"/>
            <w:bottom w:val="none" w:sz="0" w:space="0" w:color="auto"/>
            <w:right w:val="none" w:sz="0" w:space="0" w:color="auto"/>
          </w:divBdr>
        </w:div>
      </w:divsChild>
    </w:div>
    <w:div w:id="1682394386">
      <w:bodyDiv w:val="1"/>
      <w:marLeft w:val="0"/>
      <w:marRight w:val="0"/>
      <w:marTop w:val="0"/>
      <w:marBottom w:val="0"/>
      <w:divBdr>
        <w:top w:val="none" w:sz="0" w:space="0" w:color="auto"/>
        <w:left w:val="none" w:sz="0" w:space="0" w:color="auto"/>
        <w:bottom w:val="none" w:sz="0" w:space="0" w:color="auto"/>
        <w:right w:val="none" w:sz="0" w:space="0" w:color="auto"/>
      </w:divBdr>
      <w:divsChild>
        <w:div w:id="464659785">
          <w:marLeft w:val="0"/>
          <w:marRight w:val="0"/>
          <w:marTop w:val="0"/>
          <w:marBottom w:val="0"/>
          <w:divBdr>
            <w:top w:val="none" w:sz="0" w:space="0" w:color="auto"/>
            <w:left w:val="none" w:sz="0" w:space="0" w:color="auto"/>
            <w:bottom w:val="none" w:sz="0" w:space="0" w:color="auto"/>
            <w:right w:val="none" w:sz="0" w:space="0" w:color="auto"/>
          </w:divBdr>
        </w:div>
        <w:div w:id="1276214461">
          <w:marLeft w:val="0"/>
          <w:marRight w:val="0"/>
          <w:marTop w:val="0"/>
          <w:marBottom w:val="0"/>
          <w:divBdr>
            <w:top w:val="none" w:sz="0" w:space="0" w:color="auto"/>
            <w:left w:val="none" w:sz="0" w:space="0" w:color="auto"/>
            <w:bottom w:val="none" w:sz="0" w:space="0" w:color="auto"/>
            <w:right w:val="none" w:sz="0" w:space="0" w:color="auto"/>
          </w:divBdr>
        </w:div>
        <w:div w:id="1741563970">
          <w:marLeft w:val="0"/>
          <w:marRight w:val="0"/>
          <w:marTop w:val="0"/>
          <w:marBottom w:val="0"/>
          <w:divBdr>
            <w:top w:val="none" w:sz="0" w:space="0" w:color="auto"/>
            <w:left w:val="none" w:sz="0" w:space="0" w:color="auto"/>
            <w:bottom w:val="none" w:sz="0" w:space="0" w:color="auto"/>
            <w:right w:val="none" w:sz="0" w:space="0" w:color="auto"/>
          </w:divBdr>
        </w:div>
        <w:div w:id="2121024206">
          <w:marLeft w:val="0"/>
          <w:marRight w:val="0"/>
          <w:marTop w:val="0"/>
          <w:marBottom w:val="0"/>
          <w:divBdr>
            <w:top w:val="none" w:sz="0" w:space="0" w:color="auto"/>
            <w:left w:val="none" w:sz="0" w:space="0" w:color="auto"/>
            <w:bottom w:val="none" w:sz="0" w:space="0" w:color="auto"/>
            <w:right w:val="none" w:sz="0" w:space="0" w:color="auto"/>
          </w:divBdr>
        </w:div>
        <w:div w:id="2124301105">
          <w:marLeft w:val="0"/>
          <w:marRight w:val="0"/>
          <w:marTop w:val="0"/>
          <w:marBottom w:val="0"/>
          <w:divBdr>
            <w:top w:val="none" w:sz="0" w:space="0" w:color="auto"/>
            <w:left w:val="none" w:sz="0" w:space="0" w:color="auto"/>
            <w:bottom w:val="none" w:sz="0" w:space="0" w:color="auto"/>
            <w:right w:val="none" w:sz="0" w:space="0" w:color="auto"/>
          </w:divBdr>
        </w:div>
      </w:divsChild>
    </w:div>
    <w:div w:id="1979874649">
      <w:bodyDiv w:val="1"/>
      <w:marLeft w:val="0"/>
      <w:marRight w:val="0"/>
      <w:marTop w:val="0"/>
      <w:marBottom w:val="0"/>
      <w:divBdr>
        <w:top w:val="none" w:sz="0" w:space="0" w:color="auto"/>
        <w:left w:val="none" w:sz="0" w:space="0" w:color="auto"/>
        <w:bottom w:val="none" w:sz="0" w:space="0" w:color="auto"/>
        <w:right w:val="none" w:sz="0" w:space="0" w:color="auto"/>
      </w:divBdr>
      <w:divsChild>
        <w:div w:id="215168924">
          <w:marLeft w:val="0"/>
          <w:marRight w:val="0"/>
          <w:marTop w:val="0"/>
          <w:marBottom w:val="0"/>
          <w:divBdr>
            <w:top w:val="none" w:sz="0" w:space="0" w:color="auto"/>
            <w:left w:val="none" w:sz="0" w:space="0" w:color="auto"/>
            <w:bottom w:val="none" w:sz="0" w:space="0" w:color="auto"/>
            <w:right w:val="none" w:sz="0" w:space="0" w:color="auto"/>
          </w:divBdr>
        </w:div>
        <w:div w:id="1987322512">
          <w:marLeft w:val="0"/>
          <w:marRight w:val="0"/>
          <w:marTop w:val="0"/>
          <w:marBottom w:val="0"/>
          <w:divBdr>
            <w:top w:val="none" w:sz="0" w:space="0" w:color="auto"/>
            <w:left w:val="none" w:sz="0" w:space="0" w:color="auto"/>
            <w:bottom w:val="none" w:sz="0" w:space="0" w:color="auto"/>
            <w:right w:val="none" w:sz="0" w:space="0" w:color="auto"/>
          </w:divBdr>
        </w:div>
      </w:divsChild>
    </w:div>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uk/ssi/2023/101/regulation/9/made" TargetMode="External"/><Relationship Id="rId26" Type="http://schemas.openxmlformats.org/officeDocument/2006/relationships/hyperlink" Target="https://map.sepa.org.uk/floodmap/map.htm" TargetMode="External"/><Relationship Id="rId3" Type="http://schemas.openxmlformats.org/officeDocument/2006/relationships/customXml" Target="../customXml/item3.xml"/><Relationship Id="rId21" Type="http://schemas.openxmlformats.org/officeDocument/2006/relationships/hyperlink" Target="https://www.sepa.org.uk/media/3psdfwce/sfra-guidance-for-planning-authoritie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view.officeapps.live.com/op/view.aspx?src=https%3A%2F%2Fwww.sepa.org.uk%2Fmedia%2Fpuqhuwhn%2Frecommended-riparian-corridor-note.docx&amp;wdOrigin=BROWSELIN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sepa.org.uk/media/3psdfwce/sfra-guidance-for-planning-authoritie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environment/environmental-data/"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informatics.sepa.org.uk/RBMP3/" TargetMode="External"/><Relationship Id="rId28" Type="http://schemas.openxmlformats.org/officeDocument/2006/relationships/hyperlink" Target="mailto:equalities@sepa.org.uk" TargetMode="External"/><Relationship Id="rId10" Type="http://schemas.openxmlformats.org/officeDocument/2006/relationships/endnotes" Target="endnotes.xml"/><Relationship Id="rId19" Type="http://schemas.openxmlformats.org/officeDocument/2006/relationships/hyperlink" Target="https://www.sepa.org.uk/media/3psdfwce/sfra-guidance-for-planning-authoriti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epa.org.uk/data-visualisation/water-classification-hub/" TargetMode="External"/><Relationship Id="rId27" Type="http://schemas.openxmlformats.org/officeDocument/2006/relationships/hyperlink" Target="https://www.sepa.org.uk/media/3psdfwce/sfra-guidance-for-planning-authorities.pdf"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381B2EB137C4B86DDF85555BC66AF" ma:contentTypeVersion="4" ma:contentTypeDescription="Create a new document." ma:contentTypeScope="" ma:versionID="85eaa319ccbcda6b21c4eeff0d65d4d6">
  <xsd:schema xmlns:xsd="http://www.w3.org/2001/XMLSchema" xmlns:xs="http://www.w3.org/2001/XMLSchema" xmlns:p="http://schemas.microsoft.com/office/2006/metadata/properties" xmlns:ns2="009e2aea-6001-41d0-9dbc-b02d140c746f" targetNamespace="http://schemas.microsoft.com/office/2006/metadata/properties" ma:root="true" ma:fieldsID="88aaed57559693a12c90903e36ff287d" ns2:_="">
    <xsd:import namespace="009e2aea-6001-41d0-9dbc-b02d140c74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e2aea-6001-41d0-9dbc-b02d140c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DB60-D404-41A0-A7E3-6C03896B040D}">
  <ds:schemaRefs>
    <ds:schemaRef ds:uri="http://purl.org/dc/elements/1.1/"/>
    <ds:schemaRef ds:uri="http://schemas.microsoft.com/office/2006/metadata/properties"/>
    <ds:schemaRef ds:uri="009e2aea-6001-41d0-9dbc-b02d140c746f"/>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FB90E91B-049D-444A-87C0-AA2AAA77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e2aea-6001-41d0-9dbc-b02d140c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1</TotalTime>
  <Pages>7</Pages>
  <Words>1116</Words>
  <Characters>6363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Lakeman, Katherine</dc:creator>
  <cp:keywords/>
  <dc:description/>
  <cp:lastModifiedBy>Wallace, Fionna</cp:lastModifiedBy>
  <cp:revision>2</cp:revision>
  <cp:lastPrinted>2023-03-23T21:44:00Z</cp:lastPrinted>
  <dcterms:created xsi:type="dcterms:W3CDTF">2025-03-25T17:08:00Z</dcterms:created>
  <dcterms:modified xsi:type="dcterms:W3CDTF">2025-03-25T17:08:00Z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0x0101000FC381B2EB137C4B86DDF85555BC66AF</vt:lpwstr>
  </property>
  <property fmtid="{D5CDD505-2E9C-101B-9397-08002B2CF9AE}" pid="10" name="MediaServiceImageTags">
    <vt:lpwstr/>
  </property>
  <property fmtid="{D5CDD505-2E9C-101B-9397-08002B2CF9AE}" pid="11" name="sepaSiteName">
    <vt:lpwstr/>
  </property>
  <property fmtid="{D5CDD505-2E9C-101B-9397-08002B2CF9AE}" pid="12" name="sepaDocType">
    <vt:lpwstr/>
  </property>
  <property fmtid="{D5CDD505-2E9C-101B-9397-08002B2CF9AE}" pid="13" name="j4a146bd1242497e854fea19bd003ce8">
    <vt:lpwstr/>
  </property>
  <property fmtid="{D5CDD505-2E9C-101B-9397-08002B2CF9AE}" pid="14" name="ef51aa4790c945b9a0419016f7ab6e29">
    <vt:lpwstr/>
  </property>
  <property fmtid="{D5CDD505-2E9C-101B-9397-08002B2CF9AE}" pid="15" name="ma72f8e6ceae418eb78a3347036104c1">
    <vt:lpwstr/>
  </property>
  <property fmtid="{D5CDD505-2E9C-101B-9397-08002B2CF9AE}" pid="16" name="sepaSector">
    <vt:lpwstr/>
  </property>
  <property fmtid="{D5CDD505-2E9C-101B-9397-08002B2CF9AE}" pid="17" name="sepaRegime">
    <vt:lpwstr/>
  </property>
  <property fmtid="{D5CDD505-2E9C-101B-9397-08002B2CF9AE}" pid="18" name="oef38a18042f4301907f28c0522602c2">
    <vt:lpwstr/>
  </property>
  <property fmtid="{D5CDD505-2E9C-101B-9397-08002B2CF9AE}" pid="19" name="ee9e47817d504c689218031fd5e96151">
    <vt:lpwstr/>
  </property>
  <property fmtid="{D5CDD505-2E9C-101B-9397-08002B2CF9AE}" pid="20" name="sepaWaterbody">
    <vt:lpwstr/>
  </property>
  <property fmtid="{D5CDD505-2E9C-101B-9397-08002B2CF9AE}" pid="21" name="ne0f48cd5d0346faa88fbe934056f480">
    <vt:lpwstr/>
  </property>
  <property fmtid="{D5CDD505-2E9C-101B-9397-08002B2CF9AE}" pid="22" name="k30a802c90584b64ac3ae896c6a1ef3a">
    <vt:lpwstr/>
  </property>
  <property fmtid="{D5CDD505-2E9C-101B-9397-08002B2CF9AE}" pid="23" name="sepaLocationCode">
    <vt:lpwstr/>
  </property>
  <property fmtid="{D5CDD505-2E9C-101B-9397-08002B2CF9AE}" pid="24" name="sepaIAODept">
    <vt:lpwstr/>
  </property>
  <property fmtid="{D5CDD505-2E9C-101B-9397-08002B2CF9AE}" pid="25" name="TaxCatchAll">
    <vt:lpwstr/>
  </property>
  <property fmtid="{D5CDD505-2E9C-101B-9397-08002B2CF9AE}" pid="26" name="Planning Category">
    <vt:lpwstr>Planning Guidance</vt:lpwstr>
  </property>
  <property fmtid="{D5CDD505-2E9C-101B-9397-08002B2CF9AE}" pid="27" name="Planning Sub-Category">
    <vt:lpwstr>Local Development Plans</vt:lpwstr>
  </property>
</Properties>
</file>